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3DF" w:rsidRDefault="004C4005" w:rsidP="00647270">
      <w:pPr>
        <w:pStyle w:val="Heading1"/>
      </w:pPr>
      <w:r>
        <w:br/>
      </w:r>
      <w:r>
        <w:br/>
        <w:t xml:space="preserve">Recommended Updates to </w:t>
      </w:r>
      <w:r w:rsidR="005658B0">
        <w:t xml:space="preserve">the </w:t>
      </w:r>
      <w:r>
        <w:t>Net-t</w:t>
      </w:r>
      <w:r w:rsidR="00B253DF">
        <w:t>o</w:t>
      </w:r>
      <w:r>
        <w:t>-</w:t>
      </w:r>
      <w:r w:rsidR="00B253DF" w:rsidRPr="009F1EEF">
        <w:t xml:space="preserve">Gross Ratios for </w:t>
      </w:r>
      <w:r>
        <w:t>Commercial HVAC Systems and Building Envelopes</w:t>
      </w:r>
    </w:p>
    <w:p w:rsidR="00B253DF" w:rsidRPr="00B253DF" w:rsidRDefault="00B253DF" w:rsidP="00B253DF">
      <w:pPr>
        <w:pStyle w:val="Heading2"/>
        <w:rPr>
          <w:rFonts w:eastAsiaTheme="minorHAnsi"/>
        </w:rPr>
      </w:pPr>
      <w:r>
        <w:rPr>
          <w:rFonts w:eastAsiaTheme="minorHAnsi"/>
        </w:rPr>
        <w:t>Introduction</w:t>
      </w:r>
    </w:p>
    <w:p w:rsidR="00B253DF" w:rsidRDefault="00B253DF" w:rsidP="00B253DF">
      <w:pPr>
        <w:rPr>
          <w:rFonts w:eastAsiaTheme="minorHAnsi"/>
        </w:rPr>
      </w:pPr>
      <w:r>
        <w:rPr>
          <w:rFonts w:eastAsiaTheme="minorHAnsi"/>
        </w:rPr>
        <w:t xml:space="preserve">In this analysis, the </w:t>
      </w:r>
      <w:r w:rsidR="00D379D0">
        <w:rPr>
          <w:rFonts w:eastAsiaTheme="minorHAnsi"/>
        </w:rPr>
        <w:t>N</w:t>
      </w:r>
      <w:r w:rsidR="00AE24ED">
        <w:rPr>
          <w:rFonts w:eastAsiaTheme="minorHAnsi"/>
        </w:rPr>
        <w:t>et-to-</w:t>
      </w:r>
      <w:r w:rsidR="00D379D0">
        <w:rPr>
          <w:rFonts w:eastAsiaTheme="minorHAnsi"/>
        </w:rPr>
        <w:t>G</w:t>
      </w:r>
      <w:r w:rsidR="00AE24ED">
        <w:rPr>
          <w:rFonts w:eastAsiaTheme="minorHAnsi"/>
        </w:rPr>
        <w:t xml:space="preserve">ross </w:t>
      </w:r>
      <w:r w:rsidR="00D379D0">
        <w:rPr>
          <w:rFonts w:eastAsiaTheme="minorHAnsi"/>
        </w:rPr>
        <w:t>R</w:t>
      </w:r>
      <w:r w:rsidR="00AE24ED">
        <w:rPr>
          <w:rFonts w:eastAsiaTheme="minorHAnsi"/>
        </w:rPr>
        <w:t>atio</w:t>
      </w:r>
      <w:r w:rsidR="00D379D0">
        <w:rPr>
          <w:rFonts w:eastAsiaTheme="minorHAnsi"/>
        </w:rPr>
        <w:t xml:space="preserve"> </w:t>
      </w:r>
      <w:r w:rsidR="00AE24ED">
        <w:rPr>
          <w:rFonts w:eastAsiaTheme="minorHAnsi"/>
        </w:rPr>
        <w:t xml:space="preserve">(NTGR) </w:t>
      </w:r>
      <w:r>
        <w:rPr>
          <w:rFonts w:eastAsiaTheme="minorHAnsi"/>
        </w:rPr>
        <w:t xml:space="preserve">results from the </w:t>
      </w:r>
      <w:r w:rsidR="00097FE2">
        <w:rPr>
          <w:rFonts w:eastAsiaTheme="minorHAnsi"/>
        </w:rPr>
        <w:t>2006 – 2008</w:t>
      </w:r>
      <w:r w:rsidR="00D379D0">
        <w:rPr>
          <w:rFonts w:eastAsiaTheme="minorHAnsi"/>
        </w:rPr>
        <w:t xml:space="preserve"> </w:t>
      </w:r>
      <w:r w:rsidR="00097FE2">
        <w:rPr>
          <w:rFonts w:eastAsiaTheme="minorHAnsi"/>
        </w:rPr>
        <w:t>EM&amp;V studies</w:t>
      </w:r>
      <w:r>
        <w:rPr>
          <w:rFonts w:eastAsiaTheme="minorHAnsi"/>
        </w:rPr>
        <w:t xml:space="preserve"> </w:t>
      </w:r>
      <w:r w:rsidR="00826B36">
        <w:rPr>
          <w:rFonts w:eastAsiaTheme="minorHAnsi"/>
        </w:rPr>
        <w:t>covering</w:t>
      </w:r>
      <w:r w:rsidR="00097FE2">
        <w:rPr>
          <w:rFonts w:eastAsiaTheme="minorHAnsi"/>
        </w:rPr>
        <w:t xml:space="preserve"> </w:t>
      </w:r>
      <w:r w:rsidR="006979A5">
        <w:rPr>
          <w:rFonts w:eastAsiaTheme="minorHAnsi"/>
        </w:rPr>
        <w:t xml:space="preserve">a selection of </w:t>
      </w:r>
      <w:r w:rsidR="00097FE2">
        <w:rPr>
          <w:rFonts w:eastAsiaTheme="minorHAnsi"/>
        </w:rPr>
        <w:t xml:space="preserve">Commercial </w:t>
      </w:r>
      <w:r w:rsidRPr="007873B7">
        <w:rPr>
          <w:rFonts w:eastAsiaTheme="minorHAnsi"/>
        </w:rPr>
        <w:t>HVAC</w:t>
      </w:r>
      <w:r w:rsidR="00197A2E">
        <w:rPr>
          <w:rFonts w:eastAsiaTheme="minorHAnsi"/>
        </w:rPr>
        <w:t xml:space="preserve"> </w:t>
      </w:r>
      <w:r w:rsidR="003E6375">
        <w:rPr>
          <w:rFonts w:eastAsiaTheme="minorHAnsi"/>
        </w:rPr>
        <w:t xml:space="preserve">energy efficiency </w:t>
      </w:r>
      <w:r w:rsidR="000F74BB">
        <w:rPr>
          <w:rFonts w:eastAsiaTheme="minorHAnsi"/>
        </w:rPr>
        <w:t xml:space="preserve">measure </w:t>
      </w:r>
      <w:r w:rsidR="00826B36">
        <w:rPr>
          <w:rFonts w:eastAsiaTheme="minorHAnsi"/>
        </w:rPr>
        <w:t>(EEM</w:t>
      </w:r>
      <w:r w:rsidR="003E6375">
        <w:rPr>
          <w:rFonts w:eastAsiaTheme="minorHAnsi"/>
        </w:rPr>
        <w:t xml:space="preserve">) </w:t>
      </w:r>
      <w:r w:rsidR="00826B36">
        <w:rPr>
          <w:rFonts w:eastAsiaTheme="minorHAnsi"/>
        </w:rPr>
        <w:t>categories</w:t>
      </w:r>
      <w:r w:rsidR="006979A5">
        <w:rPr>
          <w:rFonts w:eastAsiaTheme="minorHAnsi"/>
        </w:rPr>
        <w:t>,</w:t>
      </w:r>
      <w:r w:rsidR="00826B36">
        <w:rPr>
          <w:rFonts w:eastAsiaTheme="minorHAnsi"/>
        </w:rPr>
        <w:t xml:space="preserve"> </w:t>
      </w:r>
      <w:r>
        <w:rPr>
          <w:rFonts w:eastAsiaTheme="minorHAnsi"/>
        </w:rPr>
        <w:t xml:space="preserve">are compared to the values </w:t>
      </w:r>
      <w:r w:rsidR="00D379D0">
        <w:rPr>
          <w:rFonts w:eastAsiaTheme="minorHAnsi"/>
        </w:rPr>
        <w:t xml:space="preserve">in the 2008 </w:t>
      </w:r>
      <w:r>
        <w:rPr>
          <w:rFonts w:eastAsiaTheme="minorHAnsi"/>
        </w:rPr>
        <w:t>DEER database</w:t>
      </w:r>
      <w:r w:rsidR="00097FE2">
        <w:rPr>
          <w:rFonts w:eastAsiaTheme="minorHAnsi"/>
        </w:rPr>
        <w:t>, Version 2.05</w:t>
      </w:r>
      <w:r>
        <w:rPr>
          <w:rFonts w:eastAsiaTheme="minorHAnsi"/>
        </w:rPr>
        <w:t xml:space="preserve">. </w:t>
      </w:r>
      <w:r w:rsidR="00097FE2">
        <w:rPr>
          <w:rFonts w:eastAsiaTheme="minorHAnsi"/>
        </w:rPr>
        <w:t xml:space="preserve"> </w:t>
      </w:r>
      <w:r>
        <w:rPr>
          <w:rFonts w:eastAsiaTheme="minorHAnsi"/>
        </w:rPr>
        <w:t xml:space="preserve">The </w:t>
      </w:r>
      <w:r w:rsidR="006979A5">
        <w:rPr>
          <w:rFonts w:eastAsiaTheme="minorHAnsi"/>
        </w:rPr>
        <w:t xml:space="preserve">objective </w:t>
      </w:r>
      <w:r>
        <w:rPr>
          <w:rFonts w:eastAsiaTheme="minorHAnsi"/>
        </w:rPr>
        <w:t xml:space="preserve">is to </w:t>
      </w:r>
      <w:r w:rsidR="00826B36">
        <w:rPr>
          <w:rFonts w:eastAsiaTheme="minorHAnsi"/>
        </w:rPr>
        <w:t>arrive</w:t>
      </w:r>
      <w:r w:rsidR="00D379D0">
        <w:rPr>
          <w:rFonts w:eastAsiaTheme="minorHAnsi"/>
        </w:rPr>
        <w:t xml:space="preserve"> </w:t>
      </w:r>
      <w:r w:rsidR="00826B36">
        <w:rPr>
          <w:rFonts w:eastAsiaTheme="minorHAnsi"/>
        </w:rPr>
        <w:t xml:space="preserve">at </w:t>
      </w:r>
      <w:r w:rsidR="00D379D0">
        <w:rPr>
          <w:rFonts w:eastAsiaTheme="minorHAnsi"/>
        </w:rPr>
        <w:t xml:space="preserve">a recommended </w:t>
      </w:r>
      <w:r w:rsidR="006979A5">
        <w:rPr>
          <w:rFonts w:eastAsiaTheme="minorHAnsi"/>
        </w:rPr>
        <w:t xml:space="preserve">set of </w:t>
      </w:r>
      <w:r w:rsidR="00D379D0">
        <w:rPr>
          <w:rFonts w:eastAsiaTheme="minorHAnsi"/>
        </w:rPr>
        <w:t>NTGR value</w:t>
      </w:r>
      <w:r w:rsidR="006979A5">
        <w:rPr>
          <w:rFonts w:eastAsiaTheme="minorHAnsi"/>
        </w:rPr>
        <w:t>s</w:t>
      </w:r>
      <w:r w:rsidR="00D379D0">
        <w:rPr>
          <w:rFonts w:eastAsiaTheme="minorHAnsi"/>
        </w:rPr>
        <w:t xml:space="preserve"> for th</w:t>
      </w:r>
      <w:r w:rsidR="006979A5">
        <w:rPr>
          <w:rFonts w:eastAsiaTheme="minorHAnsi"/>
        </w:rPr>
        <w:t>e</w:t>
      </w:r>
      <w:r w:rsidR="00D379D0">
        <w:rPr>
          <w:rFonts w:eastAsiaTheme="minorHAnsi"/>
        </w:rPr>
        <w:t xml:space="preserve"> measures selected for the </w:t>
      </w:r>
      <w:r w:rsidR="006979A5">
        <w:rPr>
          <w:rFonts w:eastAsiaTheme="minorHAnsi"/>
        </w:rPr>
        <w:t xml:space="preserve">2011 </w:t>
      </w:r>
      <w:r w:rsidR="00D379D0">
        <w:rPr>
          <w:rFonts w:eastAsiaTheme="minorHAnsi"/>
        </w:rPr>
        <w:t xml:space="preserve">DEER </w:t>
      </w:r>
      <w:r>
        <w:rPr>
          <w:rFonts w:eastAsiaTheme="minorHAnsi"/>
        </w:rPr>
        <w:t>update</w:t>
      </w:r>
      <w:r w:rsidR="000F74BB">
        <w:rPr>
          <w:rFonts w:eastAsiaTheme="minorHAnsi"/>
        </w:rPr>
        <w:t xml:space="preserve">.  </w:t>
      </w:r>
      <w:r>
        <w:rPr>
          <w:rFonts w:eastAsiaTheme="minorHAnsi"/>
        </w:rPr>
        <w:t>For each measure, we compare</w:t>
      </w:r>
      <w:r w:rsidR="00FD39BA">
        <w:rPr>
          <w:rFonts w:eastAsiaTheme="minorHAnsi"/>
        </w:rPr>
        <w:t>d</w:t>
      </w:r>
      <w:r>
        <w:rPr>
          <w:rFonts w:eastAsiaTheme="minorHAnsi"/>
        </w:rPr>
        <w:t xml:space="preserve"> the strengths and weaknesses of the methods </w:t>
      </w:r>
      <w:r w:rsidR="00BE1758">
        <w:rPr>
          <w:rFonts w:eastAsiaTheme="minorHAnsi"/>
        </w:rPr>
        <w:t xml:space="preserve">and datasets </w:t>
      </w:r>
      <w:r>
        <w:rPr>
          <w:rFonts w:eastAsiaTheme="minorHAnsi"/>
        </w:rPr>
        <w:t>us</w:t>
      </w:r>
      <w:r w:rsidR="005658B0">
        <w:rPr>
          <w:rFonts w:eastAsiaTheme="minorHAnsi"/>
        </w:rPr>
        <w:t xml:space="preserve">ed to derive </w:t>
      </w:r>
      <w:r w:rsidR="00BE1758">
        <w:rPr>
          <w:rFonts w:eastAsiaTheme="minorHAnsi"/>
        </w:rPr>
        <w:t xml:space="preserve">the latest </w:t>
      </w:r>
      <w:r w:rsidR="005658B0">
        <w:rPr>
          <w:rFonts w:eastAsiaTheme="minorHAnsi"/>
        </w:rPr>
        <w:t>NTGR results</w:t>
      </w:r>
      <w:r w:rsidR="00D379D0">
        <w:rPr>
          <w:rFonts w:eastAsiaTheme="minorHAnsi"/>
        </w:rPr>
        <w:t xml:space="preserve"> to the relative strength</w:t>
      </w:r>
      <w:r w:rsidR="004564B9">
        <w:rPr>
          <w:rFonts w:eastAsiaTheme="minorHAnsi"/>
        </w:rPr>
        <w:t>s</w:t>
      </w:r>
      <w:r w:rsidR="00D379D0">
        <w:rPr>
          <w:rFonts w:eastAsiaTheme="minorHAnsi"/>
        </w:rPr>
        <w:t xml:space="preserve"> </w:t>
      </w:r>
      <w:r w:rsidR="004564B9">
        <w:rPr>
          <w:rFonts w:eastAsiaTheme="minorHAnsi"/>
        </w:rPr>
        <w:t xml:space="preserve">and weaknesses </w:t>
      </w:r>
      <w:r w:rsidR="00D379D0">
        <w:rPr>
          <w:rFonts w:eastAsiaTheme="minorHAnsi"/>
        </w:rPr>
        <w:t>of the method</w:t>
      </w:r>
      <w:r w:rsidR="00BE1758">
        <w:rPr>
          <w:rFonts w:eastAsiaTheme="minorHAnsi"/>
        </w:rPr>
        <w:t>s</w:t>
      </w:r>
      <w:r w:rsidR="00D379D0">
        <w:rPr>
          <w:rFonts w:eastAsiaTheme="minorHAnsi"/>
        </w:rPr>
        <w:t xml:space="preserve"> </w:t>
      </w:r>
      <w:r w:rsidR="00BE1758">
        <w:rPr>
          <w:rFonts w:eastAsiaTheme="minorHAnsi"/>
        </w:rPr>
        <w:t xml:space="preserve">and datasets </w:t>
      </w:r>
      <w:r w:rsidR="00DA0221">
        <w:rPr>
          <w:rFonts w:eastAsiaTheme="minorHAnsi"/>
        </w:rPr>
        <w:t xml:space="preserve">used to estimate </w:t>
      </w:r>
      <w:r w:rsidR="00D379D0">
        <w:rPr>
          <w:rFonts w:eastAsiaTheme="minorHAnsi"/>
        </w:rPr>
        <w:t>the value</w:t>
      </w:r>
      <w:r w:rsidR="00BE1758">
        <w:rPr>
          <w:rFonts w:eastAsiaTheme="minorHAnsi"/>
        </w:rPr>
        <w:t>s</w:t>
      </w:r>
      <w:r w:rsidR="00D379D0">
        <w:rPr>
          <w:rFonts w:eastAsiaTheme="minorHAnsi"/>
        </w:rPr>
        <w:t xml:space="preserve"> </w:t>
      </w:r>
      <w:r>
        <w:rPr>
          <w:rFonts w:eastAsiaTheme="minorHAnsi"/>
        </w:rPr>
        <w:t xml:space="preserve">for the 2008 DEER update. </w:t>
      </w:r>
      <w:r w:rsidR="00D379D0">
        <w:rPr>
          <w:rFonts w:eastAsiaTheme="minorHAnsi"/>
        </w:rPr>
        <w:t xml:space="preserve"> </w:t>
      </w:r>
      <w:r w:rsidR="007740B6">
        <w:rPr>
          <w:rFonts w:eastAsiaTheme="minorHAnsi"/>
        </w:rPr>
        <w:t>Some of t</w:t>
      </w:r>
      <w:r>
        <w:rPr>
          <w:rFonts w:eastAsiaTheme="minorHAnsi"/>
        </w:rPr>
        <w:t xml:space="preserve">he factors </w:t>
      </w:r>
      <w:r w:rsidR="007740B6">
        <w:rPr>
          <w:rFonts w:eastAsiaTheme="minorHAnsi"/>
        </w:rPr>
        <w:t>co</w:t>
      </w:r>
      <w:r w:rsidR="00B65A85">
        <w:rPr>
          <w:rFonts w:eastAsiaTheme="minorHAnsi"/>
        </w:rPr>
        <w:t>nsidered in recommending a revised</w:t>
      </w:r>
      <w:r w:rsidR="007740B6">
        <w:rPr>
          <w:rFonts w:eastAsiaTheme="minorHAnsi"/>
        </w:rPr>
        <w:t xml:space="preserve"> </w:t>
      </w:r>
      <w:r>
        <w:rPr>
          <w:rFonts w:eastAsiaTheme="minorHAnsi"/>
        </w:rPr>
        <w:t xml:space="preserve">NTGR </w:t>
      </w:r>
      <w:r w:rsidR="007740B6">
        <w:rPr>
          <w:rFonts w:eastAsiaTheme="minorHAnsi"/>
        </w:rPr>
        <w:t>value include</w:t>
      </w:r>
      <w:r>
        <w:rPr>
          <w:rFonts w:eastAsiaTheme="minorHAnsi"/>
        </w:rPr>
        <w:t xml:space="preserve">:  </w:t>
      </w:r>
    </w:p>
    <w:p w:rsidR="00B253DF" w:rsidRDefault="00FD39BA" w:rsidP="00312DEB">
      <w:pPr>
        <w:pStyle w:val="ListParagraph"/>
        <w:numPr>
          <w:ilvl w:val="0"/>
          <w:numId w:val="5"/>
        </w:numPr>
        <w:spacing w:after="280"/>
        <w:contextualSpacing/>
        <w:jc w:val="left"/>
        <w:rPr>
          <w:rFonts w:eastAsiaTheme="minorHAnsi"/>
        </w:rPr>
      </w:pPr>
      <w:r>
        <w:rPr>
          <w:rFonts w:eastAsiaTheme="minorHAnsi"/>
          <w:b/>
        </w:rPr>
        <w:t>Methods and Sample Sizes.</w:t>
      </w:r>
      <w:r>
        <w:rPr>
          <w:rFonts w:eastAsiaTheme="minorHAnsi"/>
        </w:rPr>
        <w:t xml:space="preserve">  </w:t>
      </w:r>
      <w:r w:rsidR="00D16E99">
        <w:rPr>
          <w:rFonts w:eastAsiaTheme="minorHAnsi"/>
        </w:rPr>
        <w:t>The relative merits of the</w:t>
      </w:r>
      <w:r w:rsidR="00B253DF">
        <w:rPr>
          <w:rFonts w:eastAsiaTheme="minorHAnsi"/>
        </w:rPr>
        <w:t xml:space="preserve"> methods and</w:t>
      </w:r>
      <w:r w:rsidR="00B253DF" w:rsidRPr="001903A0">
        <w:rPr>
          <w:rFonts w:eastAsiaTheme="minorHAnsi"/>
        </w:rPr>
        <w:t xml:space="preserve"> sampl</w:t>
      </w:r>
      <w:r w:rsidR="00D16E99">
        <w:rPr>
          <w:rFonts w:eastAsiaTheme="minorHAnsi"/>
        </w:rPr>
        <w:t>e sizes</w:t>
      </w:r>
      <w:r w:rsidR="00B253DF" w:rsidRPr="001903A0">
        <w:rPr>
          <w:rFonts w:eastAsiaTheme="minorHAnsi"/>
        </w:rPr>
        <w:t xml:space="preserve"> </w:t>
      </w:r>
      <w:r w:rsidR="00B253DF">
        <w:rPr>
          <w:rFonts w:eastAsiaTheme="minorHAnsi"/>
        </w:rPr>
        <w:t xml:space="preserve">used to derive </w:t>
      </w:r>
      <w:r w:rsidR="00D16E99">
        <w:rPr>
          <w:rFonts w:eastAsiaTheme="minorHAnsi"/>
        </w:rPr>
        <w:t xml:space="preserve">the </w:t>
      </w:r>
      <w:r w:rsidR="00B253DF">
        <w:rPr>
          <w:rFonts w:eastAsiaTheme="minorHAnsi"/>
        </w:rPr>
        <w:t xml:space="preserve">NTGR </w:t>
      </w:r>
      <w:r w:rsidR="00D16E99">
        <w:rPr>
          <w:rFonts w:eastAsiaTheme="minorHAnsi"/>
        </w:rPr>
        <w:t xml:space="preserve">estimates in the </w:t>
      </w:r>
      <w:r w:rsidR="00B253DF">
        <w:rPr>
          <w:rFonts w:eastAsiaTheme="minorHAnsi"/>
        </w:rPr>
        <w:t xml:space="preserve">existing DEER </w:t>
      </w:r>
      <w:r w:rsidR="00D16E99">
        <w:rPr>
          <w:rFonts w:eastAsiaTheme="minorHAnsi"/>
        </w:rPr>
        <w:t xml:space="preserve">database </w:t>
      </w:r>
      <w:r w:rsidR="00B253DF">
        <w:rPr>
          <w:rFonts w:eastAsiaTheme="minorHAnsi"/>
        </w:rPr>
        <w:t xml:space="preserve">and </w:t>
      </w:r>
      <w:r w:rsidR="00776572">
        <w:rPr>
          <w:rFonts w:eastAsiaTheme="minorHAnsi"/>
        </w:rPr>
        <w:t xml:space="preserve">new </w:t>
      </w:r>
      <w:r w:rsidR="00D16E99">
        <w:rPr>
          <w:rFonts w:eastAsiaTheme="minorHAnsi"/>
        </w:rPr>
        <w:t>evaluation studies,</w:t>
      </w:r>
    </w:p>
    <w:p w:rsidR="00B253DF" w:rsidRDefault="00FD39BA" w:rsidP="00312DEB">
      <w:pPr>
        <w:pStyle w:val="ListParagraph"/>
        <w:numPr>
          <w:ilvl w:val="0"/>
          <w:numId w:val="5"/>
        </w:numPr>
        <w:spacing w:after="280"/>
        <w:contextualSpacing/>
        <w:jc w:val="left"/>
        <w:rPr>
          <w:rFonts w:eastAsiaTheme="minorHAnsi"/>
        </w:rPr>
      </w:pPr>
      <w:r>
        <w:rPr>
          <w:rFonts w:eastAsiaTheme="minorHAnsi"/>
          <w:b/>
        </w:rPr>
        <w:t>Program Design Changes.</w:t>
      </w:r>
      <w:r>
        <w:rPr>
          <w:rFonts w:eastAsiaTheme="minorHAnsi"/>
        </w:rPr>
        <w:t xml:space="preserve">  </w:t>
      </w:r>
      <w:r w:rsidR="003E6375">
        <w:rPr>
          <w:rFonts w:eastAsiaTheme="minorHAnsi"/>
        </w:rPr>
        <w:t>The p</w:t>
      </w:r>
      <w:r w:rsidR="00B253DF">
        <w:rPr>
          <w:rFonts w:eastAsiaTheme="minorHAnsi"/>
        </w:rPr>
        <w:t xml:space="preserve">otential changes in </w:t>
      </w:r>
      <w:r w:rsidR="00D16E99">
        <w:rPr>
          <w:rFonts w:eastAsiaTheme="minorHAnsi"/>
        </w:rPr>
        <w:t xml:space="preserve">either </w:t>
      </w:r>
      <w:r w:rsidR="003E6375">
        <w:rPr>
          <w:rFonts w:eastAsiaTheme="minorHAnsi"/>
        </w:rPr>
        <w:t xml:space="preserve">the energy efficiency </w:t>
      </w:r>
      <w:r w:rsidR="00B253DF">
        <w:rPr>
          <w:rFonts w:eastAsiaTheme="minorHAnsi"/>
        </w:rPr>
        <w:t>program</w:t>
      </w:r>
      <w:r w:rsidR="003E6375">
        <w:rPr>
          <w:rFonts w:eastAsiaTheme="minorHAnsi"/>
        </w:rPr>
        <w:t>’s</w:t>
      </w:r>
      <w:r w:rsidR="00B253DF">
        <w:rPr>
          <w:rFonts w:eastAsiaTheme="minorHAnsi"/>
        </w:rPr>
        <w:t xml:space="preserve"> design or </w:t>
      </w:r>
      <w:r w:rsidR="003E6375">
        <w:rPr>
          <w:rFonts w:eastAsiaTheme="minorHAnsi"/>
        </w:rPr>
        <w:t>the EEM’s</w:t>
      </w:r>
      <w:r w:rsidR="00B253DF">
        <w:rPr>
          <w:rFonts w:eastAsiaTheme="minorHAnsi"/>
        </w:rPr>
        <w:t xml:space="preserve"> minimum qualification levels</w:t>
      </w:r>
      <w:r w:rsidR="00776572">
        <w:rPr>
          <w:rFonts w:eastAsiaTheme="minorHAnsi"/>
        </w:rPr>
        <w:t>.</w:t>
      </w:r>
    </w:p>
    <w:p w:rsidR="004C30D2" w:rsidRDefault="00776572" w:rsidP="00312DEB">
      <w:pPr>
        <w:pStyle w:val="ListParagraph"/>
        <w:numPr>
          <w:ilvl w:val="0"/>
          <w:numId w:val="5"/>
        </w:numPr>
        <w:spacing w:after="280"/>
        <w:contextualSpacing/>
        <w:jc w:val="left"/>
        <w:rPr>
          <w:rFonts w:eastAsiaTheme="minorHAnsi"/>
        </w:rPr>
      </w:pPr>
      <w:r>
        <w:rPr>
          <w:rFonts w:eastAsiaTheme="minorHAnsi"/>
          <w:b/>
        </w:rPr>
        <w:t>Market Changes.</w:t>
      </w:r>
      <w:r>
        <w:rPr>
          <w:rFonts w:eastAsiaTheme="minorHAnsi"/>
        </w:rPr>
        <w:t xml:space="preserve">  </w:t>
      </w:r>
      <w:r w:rsidR="003E6375">
        <w:rPr>
          <w:rFonts w:eastAsiaTheme="minorHAnsi"/>
        </w:rPr>
        <w:t xml:space="preserve">The </w:t>
      </w:r>
      <w:r w:rsidR="004C30D2">
        <w:rPr>
          <w:rFonts w:eastAsiaTheme="minorHAnsi"/>
        </w:rPr>
        <w:t xml:space="preserve">changing </w:t>
      </w:r>
      <w:r w:rsidR="003E6375">
        <w:rPr>
          <w:rFonts w:eastAsiaTheme="minorHAnsi"/>
        </w:rPr>
        <w:t xml:space="preserve">market </w:t>
      </w:r>
      <w:r w:rsidR="004C30D2">
        <w:rPr>
          <w:rFonts w:eastAsiaTheme="minorHAnsi"/>
        </w:rPr>
        <w:t xml:space="preserve">conditions and </w:t>
      </w:r>
      <w:r w:rsidR="003E6375">
        <w:rPr>
          <w:rFonts w:eastAsiaTheme="minorHAnsi"/>
        </w:rPr>
        <w:t xml:space="preserve">saturation </w:t>
      </w:r>
      <w:r w:rsidR="004C30D2">
        <w:rPr>
          <w:rFonts w:eastAsiaTheme="minorHAnsi"/>
        </w:rPr>
        <w:t xml:space="preserve">levels </w:t>
      </w:r>
      <w:r w:rsidR="003E6375">
        <w:rPr>
          <w:rFonts w:eastAsiaTheme="minorHAnsi"/>
        </w:rPr>
        <w:t xml:space="preserve">of the </w:t>
      </w:r>
      <w:r w:rsidR="004C30D2">
        <w:rPr>
          <w:rFonts w:eastAsiaTheme="minorHAnsi"/>
        </w:rPr>
        <w:t xml:space="preserve">EEM in the </w:t>
      </w:r>
      <w:r w:rsidR="00CD2D4F">
        <w:rPr>
          <w:rFonts w:eastAsiaTheme="minorHAnsi"/>
        </w:rPr>
        <w:t>specific</w:t>
      </w:r>
      <w:r w:rsidR="004C30D2">
        <w:rPr>
          <w:rFonts w:eastAsiaTheme="minorHAnsi"/>
        </w:rPr>
        <w:t xml:space="preserve"> market segments</w:t>
      </w:r>
      <w:r w:rsidR="003E6375">
        <w:rPr>
          <w:rFonts w:eastAsiaTheme="minorHAnsi"/>
        </w:rPr>
        <w:t xml:space="preserve">.  There are two </w:t>
      </w:r>
      <w:r w:rsidR="004C30D2">
        <w:rPr>
          <w:rFonts w:eastAsiaTheme="minorHAnsi"/>
        </w:rPr>
        <w:t>metrics that serve as indicators</w:t>
      </w:r>
      <w:r>
        <w:rPr>
          <w:rFonts w:eastAsiaTheme="minorHAnsi"/>
        </w:rPr>
        <w:t>:</w:t>
      </w:r>
      <w:r w:rsidR="007740B6">
        <w:rPr>
          <w:rFonts w:eastAsiaTheme="minorHAnsi"/>
        </w:rPr>
        <w:t xml:space="preserve"> </w:t>
      </w:r>
    </w:p>
    <w:p w:rsidR="00B253DF" w:rsidRDefault="003E6375" w:rsidP="00312DEB">
      <w:pPr>
        <w:pStyle w:val="ListParagraph"/>
        <w:numPr>
          <w:ilvl w:val="1"/>
          <w:numId w:val="6"/>
        </w:numPr>
        <w:spacing w:after="280"/>
        <w:contextualSpacing/>
        <w:jc w:val="left"/>
        <w:rPr>
          <w:rFonts w:eastAsiaTheme="minorHAnsi"/>
        </w:rPr>
      </w:pPr>
      <w:r>
        <w:rPr>
          <w:rFonts w:eastAsiaTheme="minorHAnsi"/>
        </w:rPr>
        <w:t>The r</w:t>
      </w:r>
      <w:r w:rsidR="00B253DF">
        <w:rPr>
          <w:rFonts w:eastAsiaTheme="minorHAnsi"/>
        </w:rPr>
        <w:t xml:space="preserve">ate of change in the </w:t>
      </w:r>
      <w:r>
        <w:rPr>
          <w:rFonts w:eastAsiaTheme="minorHAnsi"/>
        </w:rPr>
        <w:t xml:space="preserve">measure’s </w:t>
      </w:r>
      <w:r w:rsidR="00B253DF">
        <w:rPr>
          <w:rFonts w:eastAsiaTheme="minorHAnsi"/>
        </w:rPr>
        <w:t>market share over time</w:t>
      </w:r>
      <w:r w:rsidR="004C30D2">
        <w:rPr>
          <w:rFonts w:eastAsiaTheme="minorHAnsi"/>
        </w:rPr>
        <w:t>,</w:t>
      </w:r>
      <w:r w:rsidR="00776572" w:rsidDel="00776572">
        <w:rPr>
          <w:rFonts w:eastAsiaTheme="minorHAnsi"/>
        </w:rPr>
        <w:t xml:space="preserve"> </w:t>
      </w:r>
      <w:r>
        <w:rPr>
          <w:rFonts w:eastAsiaTheme="minorHAnsi"/>
        </w:rPr>
        <w:t xml:space="preserve"> and</w:t>
      </w:r>
    </w:p>
    <w:p w:rsidR="00B253DF" w:rsidRDefault="003E6375" w:rsidP="00312DEB">
      <w:pPr>
        <w:pStyle w:val="ListParagraph"/>
        <w:numPr>
          <w:ilvl w:val="1"/>
          <w:numId w:val="6"/>
        </w:numPr>
        <w:spacing w:after="280"/>
        <w:contextualSpacing/>
        <w:jc w:val="left"/>
        <w:rPr>
          <w:rFonts w:eastAsiaTheme="minorHAnsi"/>
        </w:rPr>
      </w:pPr>
      <w:r>
        <w:rPr>
          <w:rFonts w:eastAsiaTheme="minorHAnsi"/>
        </w:rPr>
        <w:t>The t</w:t>
      </w:r>
      <w:r w:rsidR="00B253DF">
        <w:rPr>
          <w:rFonts w:eastAsiaTheme="minorHAnsi"/>
        </w:rPr>
        <w:t>re</w:t>
      </w:r>
      <w:r>
        <w:rPr>
          <w:rFonts w:eastAsiaTheme="minorHAnsi"/>
        </w:rPr>
        <w:t>nd</w:t>
      </w:r>
      <w:r w:rsidR="005658B0">
        <w:rPr>
          <w:rFonts w:eastAsiaTheme="minorHAnsi"/>
        </w:rPr>
        <w:t xml:space="preserve"> in the </w:t>
      </w:r>
      <w:r w:rsidR="00776572">
        <w:rPr>
          <w:rFonts w:eastAsiaTheme="minorHAnsi"/>
        </w:rPr>
        <w:t xml:space="preserve">measure’s </w:t>
      </w:r>
      <w:r w:rsidR="00B253DF">
        <w:rPr>
          <w:rFonts w:eastAsiaTheme="minorHAnsi"/>
        </w:rPr>
        <w:t>incremental cost over time.</w:t>
      </w:r>
    </w:p>
    <w:p w:rsidR="00B253DF" w:rsidRDefault="008C607B" w:rsidP="00B2276F">
      <w:pPr>
        <w:rPr>
          <w:rFonts w:eastAsiaTheme="minorHAnsi"/>
        </w:rPr>
      </w:pPr>
      <w:r>
        <w:rPr>
          <w:rFonts w:eastAsiaTheme="minorHAnsi"/>
        </w:rPr>
        <w:t xml:space="preserve">After </w:t>
      </w:r>
      <w:r w:rsidR="00B253DF">
        <w:rPr>
          <w:rFonts w:eastAsiaTheme="minorHAnsi"/>
        </w:rPr>
        <w:t>recommend</w:t>
      </w:r>
      <w:r>
        <w:rPr>
          <w:rFonts w:eastAsiaTheme="minorHAnsi"/>
        </w:rPr>
        <w:t>ing</w:t>
      </w:r>
      <w:r w:rsidR="00B253DF">
        <w:rPr>
          <w:rFonts w:eastAsiaTheme="minorHAnsi"/>
        </w:rPr>
        <w:t xml:space="preserve"> </w:t>
      </w:r>
      <w:r>
        <w:rPr>
          <w:rFonts w:eastAsiaTheme="minorHAnsi"/>
        </w:rPr>
        <w:t>specific NTGR values for the</w:t>
      </w:r>
      <w:r w:rsidR="00B253DF">
        <w:rPr>
          <w:rFonts w:eastAsiaTheme="minorHAnsi"/>
        </w:rPr>
        <w:t xml:space="preserve"> </w:t>
      </w:r>
      <w:r>
        <w:rPr>
          <w:rFonts w:eastAsiaTheme="minorHAnsi"/>
        </w:rPr>
        <w:t xml:space="preserve">2011 DEER </w:t>
      </w:r>
      <w:r w:rsidR="00B253DF">
        <w:rPr>
          <w:rFonts w:eastAsiaTheme="minorHAnsi"/>
        </w:rPr>
        <w:t>update,</w:t>
      </w:r>
      <w:r w:rsidR="00BD066D">
        <w:rPr>
          <w:rFonts w:eastAsiaTheme="minorHAnsi"/>
        </w:rPr>
        <w:t xml:space="preserve"> </w:t>
      </w:r>
      <w:r w:rsidR="00AB7326">
        <w:rPr>
          <w:rFonts w:eastAsiaTheme="minorHAnsi"/>
        </w:rPr>
        <w:t>the DEER team</w:t>
      </w:r>
      <w:r w:rsidR="00B253DF">
        <w:rPr>
          <w:rFonts w:eastAsiaTheme="minorHAnsi"/>
        </w:rPr>
        <w:t xml:space="preserve"> </w:t>
      </w:r>
      <w:r w:rsidR="00AB7326">
        <w:rPr>
          <w:rFonts w:eastAsiaTheme="minorHAnsi"/>
        </w:rPr>
        <w:t>identified</w:t>
      </w:r>
      <w:r w:rsidR="00B253DF">
        <w:rPr>
          <w:rFonts w:eastAsiaTheme="minorHAnsi"/>
        </w:rPr>
        <w:t xml:space="preserve"> </w:t>
      </w:r>
      <w:r>
        <w:rPr>
          <w:rFonts w:eastAsiaTheme="minorHAnsi"/>
        </w:rPr>
        <w:t xml:space="preserve">possible </w:t>
      </w:r>
      <w:r w:rsidR="00B253DF">
        <w:rPr>
          <w:rFonts w:eastAsiaTheme="minorHAnsi"/>
        </w:rPr>
        <w:t>program</w:t>
      </w:r>
      <w:r w:rsidR="005658B0">
        <w:rPr>
          <w:rFonts w:eastAsiaTheme="minorHAnsi"/>
        </w:rPr>
        <w:t xml:space="preserve"> and market factors that could </w:t>
      </w:r>
      <w:r w:rsidR="007B5E0F">
        <w:rPr>
          <w:rFonts w:eastAsiaTheme="minorHAnsi"/>
        </w:rPr>
        <w:t xml:space="preserve">change </w:t>
      </w:r>
      <w:r w:rsidR="00BD066D">
        <w:rPr>
          <w:rFonts w:eastAsiaTheme="minorHAnsi"/>
        </w:rPr>
        <w:t xml:space="preserve">the recommended values </w:t>
      </w:r>
      <w:r w:rsidR="00B253DF">
        <w:rPr>
          <w:rFonts w:eastAsiaTheme="minorHAnsi"/>
        </w:rPr>
        <w:t xml:space="preserve">over the next three years.  We then </w:t>
      </w:r>
      <w:r>
        <w:rPr>
          <w:rFonts w:eastAsiaTheme="minorHAnsi"/>
        </w:rPr>
        <w:t xml:space="preserve">consider </w:t>
      </w:r>
      <w:r w:rsidR="00B253DF">
        <w:rPr>
          <w:rFonts w:eastAsiaTheme="minorHAnsi"/>
        </w:rPr>
        <w:t>wheth</w:t>
      </w:r>
      <w:r w:rsidR="00E12117">
        <w:rPr>
          <w:rFonts w:eastAsiaTheme="minorHAnsi"/>
        </w:rPr>
        <w:t>er there is sufficient data and</w:t>
      </w:r>
      <w:r w:rsidR="00B253DF">
        <w:rPr>
          <w:rFonts w:eastAsiaTheme="minorHAnsi"/>
        </w:rPr>
        <w:t xml:space="preserve"> </w:t>
      </w:r>
      <w:r>
        <w:rPr>
          <w:rFonts w:eastAsiaTheme="minorHAnsi"/>
        </w:rPr>
        <w:t xml:space="preserve">an acceptable </w:t>
      </w:r>
      <w:r w:rsidR="00B253DF">
        <w:rPr>
          <w:rFonts w:eastAsiaTheme="minorHAnsi"/>
        </w:rPr>
        <w:t>analy</w:t>
      </w:r>
      <w:r w:rsidR="00E12117">
        <w:rPr>
          <w:rFonts w:eastAsiaTheme="minorHAnsi"/>
        </w:rPr>
        <w:t xml:space="preserve">tical </w:t>
      </w:r>
      <w:r>
        <w:rPr>
          <w:rFonts w:eastAsiaTheme="minorHAnsi"/>
        </w:rPr>
        <w:t xml:space="preserve">approach </w:t>
      </w:r>
      <w:r w:rsidR="00B253DF">
        <w:rPr>
          <w:rFonts w:eastAsiaTheme="minorHAnsi"/>
        </w:rPr>
        <w:t xml:space="preserve">to forecast the </w:t>
      </w:r>
      <w:r w:rsidR="00BD066D">
        <w:rPr>
          <w:rFonts w:eastAsiaTheme="minorHAnsi"/>
        </w:rPr>
        <w:t xml:space="preserve">NTGR </w:t>
      </w:r>
      <w:r w:rsidR="00B253DF">
        <w:rPr>
          <w:rFonts w:eastAsiaTheme="minorHAnsi"/>
        </w:rPr>
        <w:t xml:space="preserve">trend over the next three years.  If </w:t>
      </w:r>
      <w:r w:rsidR="000E2647">
        <w:rPr>
          <w:rFonts w:eastAsiaTheme="minorHAnsi"/>
        </w:rPr>
        <w:t>both conditions are met</w:t>
      </w:r>
      <w:r w:rsidR="00121653">
        <w:rPr>
          <w:rFonts w:eastAsiaTheme="minorHAnsi"/>
        </w:rPr>
        <w:t xml:space="preserve"> </w:t>
      </w:r>
      <w:r w:rsidR="00AB2183">
        <w:rPr>
          <w:rFonts w:eastAsiaTheme="minorHAnsi"/>
        </w:rPr>
        <w:t xml:space="preserve">satisfactorily </w:t>
      </w:r>
      <w:r w:rsidR="000E2647">
        <w:rPr>
          <w:rFonts w:eastAsiaTheme="minorHAnsi"/>
        </w:rPr>
        <w:t>and</w:t>
      </w:r>
      <w:r w:rsidR="00121653">
        <w:rPr>
          <w:rFonts w:eastAsiaTheme="minorHAnsi"/>
        </w:rPr>
        <w:t xml:space="preserve"> </w:t>
      </w:r>
      <w:r w:rsidR="00B253DF">
        <w:rPr>
          <w:rFonts w:eastAsiaTheme="minorHAnsi"/>
        </w:rPr>
        <w:t xml:space="preserve">absent any significant changes in </w:t>
      </w:r>
      <w:r w:rsidR="00E12117">
        <w:rPr>
          <w:rFonts w:eastAsiaTheme="minorHAnsi"/>
        </w:rPr>
        <w:t xml:space="preserve">either </w:t>
      </w:r>
      <w:r w:rsidR="00B253DF">
        <w:rPr>
          <w:rFonts w:eastAsiaTheme="minorHAnsi"/>
        </w:rPr>
        <w:t>program design or qualifying levels for rebated measures, a</w:t>
      </w:r>
      <w:r w:rsidR="00E33F27">
        <w:rPr>
          <w:rFonts w:eastAsiaTheme="minorHAnsi"/>
        </w:rPr>
        <w:t>n</w:t>
      </w:r>
      <w:r w:rsidR="00B253DF">
        <w:rPr>
          <w:rFonts w:eastAsiaTheme="minorHAnsi"/>
        </w:rPr>
        <w:t xml:space="preserve"> </w:t>
      </w:r>
      <w:r w:rsidR="005C0D2F">
        <w:rPr>
          <w:rFonts w:eastAsiaTheme="minorHAnsi"/>
        </w:rPr>
        <w:t xml:space="preserve">NTGR </w:t>
      </w:r>
      <w:r w:rsidR="00B253DF">
        <w:rPr>
          <w:rFonts w:eastAsiaTheme="minorHAnsi"/>
        </w:rPr>
        <w:t xml:space="preserve">forecast </w:t>
      </w:r>
      <w:r w:rsidR="00AB2183">
        <w:rPr>
          <w:rFonts w:eastAsiaTheme="minorHAnsi"/>
        </w:rPr>
        <w:t xml:space="preserve">is prepared and presented </w:t>
      </w:r>
      <w:r w:rsidR="00B253DF">
        <w:rPr>
          <w:rFonts w:eastAsiaTheme="minorHAnsi"/>
        </w:rPr>
        <w:t xml:space="preserve">for use in </w:t>
      </w:r>
      <w:r w:rsidR="00E12117">
        <w:rPr>
          <w:rFonts w:eastAsiaTheme="minorHAnsi"/>
        </w:rPr>
        <w:t xml:space="preserve">2013 </w:t>
      </w:r>
      <w:r w:rsidR="00BD066D">
        <w:rPr>
          <w:rFonts w:eastAsiaTheme="minorHAnsi"/>
        </w:rPr>
        <w:t>–</w:t>
      </w:r>
      <w:r w:rsidR="00E12117">
        <w:rPr>
          <w:rFonts w:eastAsiaTheme="minorHAnsi"/>
        </w:rPr>
        <w:t xml:space="preserve"> 2014.</w:t>
      </w:r>
      <w:r w:rsidR="00B253DF">
        <w:rPr>
          <w:rFonts w:eastAsiaTheme="minorHAnsi"/>
        </w:rPr>
        <w:t xml:space="preserve"> </w:t>
      </w:r>
      <w:r w:rsidR="00E12117">
        <w:rPr>
          <w:rFonts w:eastAsiaTheme="minorHAnsi"/>
        </w:rPr>
        <w:t xml:space="preserve"> </w:t>
      </w:r>
      <w:r w:rsidR="00BD066D">
        <w:rPr>
          <w:rFonts w:eastAsiaTheme="minorHAnsi"/>
        </w:rPr>
        <w:t>However, i</w:t>
      </w:r>
      <w:r w:rsidR="00B253DF">
        <w:rPr>
          <w:rFonts w:eastAsiaTheme="minorHAnsi"/>
        </w:rPr>
        <w:t xml:space="preserve">f </w:t>
      </w:r>
      <w:r w:rsidR="00862E8B">
        <w:rPr>
          <w:rFonts w:eastAsiaTheme="minorHAnsi"/>
        </w:rPr>
        <w:t xml:space="preserve">the assessment concludes that </w:t>
      </w:r>
      <w:r w:rsidR="00B253DF">
        <w:rPr>
          <w:rFonts w:eastAsiaTheme="minorHAnsi"/>
        </w:rPr>
        <w:t xml:space="preserve">there is </w:t>
      </w:r>
      <w:r w:rsidR="00CD2D4F">
        <w:rPr>
          <w:rFonts w:eastAsiaTheme="minorHAnsi"/>
        </w:rPr>
        <w:t>n</w:t>
      </w:r>
      <w:r w:rsidR="00862E8B">
        <w:rPr>
          <w:rFonts w:eastAsiaTheme="minorHAnsi"/>
        </w:rPr>
        <w:t xml:space="preserve">either adequate </w:t>
      </w:r>
      <w:r w:rsidR="00B253DF">
        <w:rPr>
          <w:rFonts w:eastAsiaTheme="minorHAnsi"/>
        </w:rPr>
        <w:t xml:space="preserve">data </w:t>
      </w:r>
      <w:r w:rsidR="00CD2D4F">
        <w:rPr>
          <w:rFonts w:eastAsiaTheme="minorHAnsi"/>
        </w:rPr>
        <w:t>n</w:t>
      </w:r>
      <w:r w:rsidR="00B253DF">
        <w:rPr>
          <w:rFonts w:eastAsiaTheme="minorHAnsi"/>
        </w:rPr>
        <w:t xml:space="preserve">or </w:t>
      </w:r>
      <w:r w:rsidR="00CD2D4F">
        <w:rPr>
          <w:rFonts w:eastAsiaTheme="minorHAnsi"/>
        </w:rPr>
        <w:t xml:space="preserve">a good </w:t>
      </w:r>
      <w:r w:rsidR="00B253DF">
        <w:rPr>
          <w:rFonts w:eastAsiaTheme="minorHAnsi"/>
        </w:rPr>
        <w:t xml:space="preserve">understanding of how market changes </w:t>
      </w:r>
      <w:r w:rsidR="00BD066D">
        <w:rPr>
          <w:rFonts w:eastAsiaTheme="minorHAnsi"/>
        </w:rPr>
        <w:t>may</w:t>
      </w:r>
      <w:r w:rsidR="00B253DF">
        <w:rPr>
          <w:rFonts w:eastAsiaTheme="minorHAnsi"/>
        </w:rPr>
        <w:t xml:space="preserve"> affect </w:t>
      </w:r>
      <w:r w:rsidR="00862E8B">
        <w:rPr>
          <w:rFonts w:eastAsiaTheme="minorHAnsi"/>
        </w:rPr>
        <w:t xml:space="preserve">the </w:t>
      </w:r>
      <w:r w:rsidR="00B253DF">
        <w:rPr>
          <w:rFonts w:eastAsiaTheme="minorHAnsi"/>
        </w:rPr>
        <w:t>NTGR values over tim</w:t>
      </w:r>
      <w:r w:rsidR="00E12117">
        <w:rPr>
          <w:rFonts w:eastAsiaTheme="minorHAnsi"/>
        </w:rPr>
        <w:t xml:space="preserve">e, </w:t>
      </w:r>
      <w:r w:rsidR="00862E8B">
        <w:rPr>
          <w:rFonts w:eastAsiaTheme="minorHAnsi"/>
        </w:rPr>
        <w:t xml:space="preserve">then </w:t>
      </w:r>
      <w:r w:rsidR="00E12117">
        <w:rPr>
          <w:rFonts w:eastAsiaTheme="minorHAnsi"/>
        </w:rPr>
        <w:t>no adjustment</w:t>
      </w:r>
      <w:r w:rsidR="00CD2D4F">
        <w:rPr>
          <w:rFonts w:eastAsiaTheme="minorHAnsi"/>
        </w:rPr>
        <w:t>s</w:t>
      </w:r>
      <w:r w:rsidR="00E12117">
        <w:rPr>
          <w:rFonts w:eastAsiaTheme="minorHAnsi"/>
        </w:rPr>
        <w:t xml:space="preserve"> to the </w:t>
      </w:r>
      <w:r w:rsidR="00C85B55">
        <w:rPr>
          <w:rFonts w:eastAsiaTheme="minorHAnsi"/>
        </w:rPr>
        <w:t xml:space="preserve">estimated 2011 </w:t>
      </w:r>
      <w:r w:rsidR="00E12117">
        <w:rPr>
          <w:rFonts w:eastAsiaTheme="minorHAnsi"/>
        </w:rPr>
        <w:t xml:space="preserve">NTGR </w:t>
      </w:r>
      <w:r w:rsidR="00C85B55">
        <w:rPr>
          <w:rFonts w:eastAsiaTheme="minorHAnsi"/>
        </w:rPr>
        <w:t xml:space="preserve">update </w:t>
      </w:r>
      <w:r w:rsidR="00862E8B">
        <w:rPr>
          <w:rFonts w:eastAsiaTheme="minorHAnsi"/>
        </w:rPr>
        <w:t>values are</w:t>
      </w:r>
      <w:r w:rsidR="00B253DF">
        <w:rPr>
          <w:rFonts w:eastAsiaTheme="minorHAnsi"/>
        </w:rPr>
        <w:t xml:space="preserve"> recommended to account for market changes between now and 2013. </w:t>
      </w:r>
    </w:p>
    <w:p w:rsidR="00B253DF" w:rsidRPr="00661EC5" w:rsidRDefault="00B253DF" w:rsidP="00661EC5">
      <w:pPr>
        <w:pStyle w:val="Heading2"/>
        <w:rPr>
          <w:rFonts w:eastAsiaTheme="minorHAnsi"/>
        </w:rPr>
      </w:pPr>
      <w:r w:rsidRPr="00661EC5">
        <w:rPr>
          <w:rFonts w:eastAsiaTheme="minorHAnsi"/>
        </w:rPr>
        <w:lastRenderedPageBreak/>
        <w:t xml:space="preserve">Comparison of </w:t>
      </w:r>
      <w:r w:rsidR="000E2647" w:rsidRPr="00661EC5">
        <w:rPr>
          <w:rFonts w:eastAsiaTheme="minorHAnsi"/>
        </w:rPr>
        <w:t xml:space="preserve">the </w:t>
      </w:r>
      <w:r w:rsidRPr="00661EC5">
        <w:rPr>
          <w:rFonts w:eastAsiaTheme="minorHAnsi"/>
        </w:rPr>
        <w:t xml:space="preserve">Current DEER NTGR </w:t>
      </w:r>
      <w:r w:rsidR="00826B36" w:rsidRPr="00661EC5">
        <w:rPr>
          <w:rFonts w:eastAsiaTheme="minorHAnsi"/>
        </w:rPr>
        <w:t xml:space="preserve">Values </w:t>
      </w:r>
      <w:r w:rsidRPr="00661EC5">
        <w:rPr>
          <w:rFonts w:eastAsiaTheme="minorHAnsi"/>
        </w:rPr>
        <w:t xml:space="preserve">to </w:t>
      </w:r>
      <w:r w:rsidR="00826B36" w:rsidRPr="00661EC5">
        <w:rPr>
          <w:rFonts w:eastAsiaTheme="minorHAnsi"/>
        </w:rPr>
        <w:t xml:space="preserve">the </w:t>
      </w:r>
      <w:r w:rsidRPr="00661EC5">
        <w:rPr>
          <w:rFonts w:eastAsiaTheme="minorHAnsi"/>
        </w:rPr>
        <w:t xml:space="preserve">Results from </w:t>
      </w:r>
      <w:r w:rsidR="00C85B55" w:rsidRPr="00661EC5">
        <w:rPr>
          <w:rFonts w:eastAsiaTheme="minorHAnsi"/>
        </w:rPr>
        <w:t xml:space="preserve">the </w:t>
      </w:r>
      <w:r w:rsidR="00826B36" w:rsidRPr="00661EC5">
        <w:rPr>
          <w:rFonts w:eastAsiaTheme="minorHAnsi"/>
        </w:rPr>
        <w:t>2006 - 2008</w:t>
      </w:r>
      <w:r w:rsidRPr="00661EC5">
        <w:rPr>
          <w:rFonts w:eastAsiaTheme="minorHAnsi"/>
        </w:rPr>
        <w:t xml:space="preserve"> EM&amp;V</w:t>
      </w:r>
      <w:r w:rsidR="00881049" w:rsidRPr="00661EC5">
        <w:rPr>
          <w:rFonts w:eastAsiaTheme="minorHAnsi"/>
        </w:rPr>
        <w:t xml:space="preserve"> Studies</w:t>
      </w:r>
    </w:p>
    <w:p w:rsidR="00B253DF" w:rsidRDefault="0051453E" w:rsidP="00B253DF">
      <w:pPr>
        <w:rPr>
          <w:rFonts w:eastAsiaTheme="minorHAnsi"/>
        </w:rPr>
      </w:pPr>
      <w:r>
        <w:rPr>
          <w:rFonts w:eastAsiaTheme="minorHAnsi"/>
        </w:rPr>
        <w:fldChar w:fldCharType="begin"/>
      </w:r>
      <w:r w:rsidR="00B2276F">
        <w:rPr>
          <w:rFonts w:eastAsiaTheme="minorHAnsi"/>
        </w:rPr>
        <w:instrText xml:space="preserve"> REF _Ref305703317 \h </w:instrText>
      </w:r>
      <w:r>
        <w:rPr>
          <w:rFonts w:eastAsiaTheme="minorHAnsi"/>
        </w:rPr>
      </w:r>
      <w:r>
        <w:rPr>
          <w:rFonts w:eastAsiaTheme="minorHAnsi"/>
        </w:rPr>
        <w:fldChar w:fldCharType="separate"/>
      </w:r>
      <w:r w:rsidR="005372DA" w:rsidRPr="00661EC5">
        <w:t xml:space="preserve">Table </w:t>
      </w:r>
      <w:r w:rsidR="005372DA">
        <w:rPr>
          <w:noProof/>
        </w:rPr>
        <w:t>10</w:t>
      </w:r>
      <w:r w:rsidR="005372DA">
        <w:noBreakHyphen/>
      </w:r>
      <w:r w:rsidR="005372DA">
        <w:rPr>
          <w:noProof/>
        </w:rPr>
        <w:t>1</w:t>
      </w:r>
      <w:r>
        <w:rPr>
          <w:rFonts w:eastAsiaTheme="minorHAnsi"/>
        </w:rPr>
        <w:fldChar w:fldCharType="end"/>
      </w:r>
      <w:r w:rsidR="005658B0">
        <w:rPr>
          <w:rFonts w:eastAsiaTheme="minorHAnsi"/>
        </w:rPr>
        <w:t xml:space="preserve"> </w:t>
      </w:r>
      <w:r w:rsidR="0038646E">
        <w:rPr>
          <w:rFonts w:eastAsiaTheme="minorHAnsi"/>
        </w:rPr>
        <w:t xml:space="preserve">lists the Commercial </w:t>
      </w:r>
      <w:r w:rsidR="00B253DF" w:rsidRPr="00686C60">
        <w:rPr>
          <w:rFonts w:eastAsiaTheme="minorHAnsi"/>
        </w:rPr>
        <w:t>HVAC</w:t>
      </w:r>
      <w:r w:rsidR="00B253DF">
        <w:rPr>
          <w:rFonts w:eastAsiaTheme="minorHAnsi"/>
        </w:rPr>
        <w:t xml:space="preserve"> </w:t>
      </w:r>
      <w:r w:rsidR="0038646E">
        <w:rPr>
          <w:rFonts w:eastAsiaTheme="minorHAnsi"/>
        </w:rPr>
        <w:t xml:space="preserve">EEMs that </w:t>
      </w:r>
      <w:r w:rsidR="00241C10">
        <w:rPr>
          <w:rFonts w:eastAsiaTheme="minorHAnsi"/>
        </w:rPr>
        <w:t xml:space="preserve">the </w:t>
      </w:r>
      <w:r w:rsidR="0038646E">
        <w:rPr>
          <w:rFonts w:eastAsiaTheme="minorHAnsi"/>
        </w:rPr>
        <w:t xml:space="preserve">team selected for the 2011 </w:t>
      </w:r>
      <w:r w:rsidR="00B253DF">
        <w:rPr>
          <w:rFonts w:eastAsiaTheme="minorHAnsi"/>
        </w:rPr>
        <w:t xml:space="preserve">DEER </w:t>
      </w:r>
      <w:r w:rsidR="0038646E">
        <w:rPr>
          <w:rFonts w:eastAsiaTheme="minorHAnsi"/>
        </w:rPr>
        <w:t xml:space="preserve">updates based </w:t>
      </w:r>
      <w:r w:rsidR="00362063">
        <w:rPr>
          <w:rFonts w:eastAsiaTheme="minorHAnsi"/>
        </w:rPr>
        <w:t>up</w:t>
      </w:r>
      <w:r w:rsidR="0038646E">
        <w:rPr>
          <w:rFonts w:eastAsiaTheme="minorHAnsi"/>
        </w:rPr>
        <w:t xml:space="preserve">on the </w:t>
      </w:r>
      <w:r w:rsidR="00B253DF">
        <w:rPr>
          <w:rFonts w:eastAsiaTheme="minorHAnsi"/>
        </w:rPr>
        <w:t>2006-2008 evaluation</w:t>
      </w:r>
      <w:r w:rsidR="0038646E">
        <w:rPr>
          <w:rFonts w:eastAsiaTheme="minorHAnsi"/>
        </w:rPr>
        <w:t xml:space="preserve"> reports.  The table summarizes the </w:t>
      </w:r>
      <w:r w:rsidR="00362063">
        <w:rPr>
          <w:rFonts w:eastAsiaTheme="minorHAnsi"/>
        </w:rPr>
        <w:t xml:space="preserve">NTGR values from the </w:t>
      </w:r>
      <w:r w:rsidR="00B253DF">
        <w:rPr>
          <w:rFonts w:eastAsiaTheme="minorHAnsi"/>
        </w:rPr>
        <w:t xml:space="preserve">2008 DEER </w:t>
      </w:r>
      <w:r w:rsidR="00362063">
        <w:rPr>
          <w:rFonts w:eastAsiaTheme="minorHAnsi"/>
        </w:rPr>
        <w:t xml:space="preserve">v2.05 database </w:t>
      </w:r>
      <w:r w:rsidR="0038646E">
        <w:rPr>
          <w:rFonts w:eastAsiaTheme="minorHAnsi"/>
        </w:rPr>
        <w:t xml:space="preserve">and the </w:t>
      </w:r>
      <w:r w:rsidR="00362063">
        <w:rPr>
          <w:rFonts w:eastAsiaTheme="minorHAnsi"/>
        </w:rPr>
        <w:t xml:space="preserve">results from the final impact evaluation reports.  </w:t>
      </w:r>
    </w:p>
    <w:p w:rsidR="009E5092" w:rsidRPr="00661EC5" w:rsidRDefault="00B2276F" w:rsidP="00661EC5">
      <w:pPr>
        <w:pStyle w:val="Caption"/>
      </w:pPr>
      <w:bookmarkStart w:id="0" w:name="_Ref305703317"/>
      <w:r w:rsidRPr="00661EC5">
        <w:t xml:space="preserve">Table </w:t>
      </w:r>
      <w:fldSimple w:instr=" STYLEREF 1 \s ">
        <w:r w:rsidR="005372DA">
          <w:rPr>
            <w:noProof/>
          </w:rPr>
          <w:t>10</w:t>
        </w:r>
      </w:fldSimple>
      <w:r w:rsidR="00B70D42">
        <w:noBreakHyphen/>
      </w:r>
      <w:fldSimple w:instr=" SEQ Table \* ARABIC \s 1 ">
        <w:r w:rsidR="005372DA">
          <w:rPr>
            <w:noProof/>
          </w:rPr>
          <w:t>1</w:t>
        </w:r>
      </w:fldSimple>
      <w:bookmarkEnd w:id="0"/>
      <w:r w:rsidRPr="00661EC5">
        <w:t xml:space="preserve">:  </w:t>
      </w:r>
      <w:r w:rsidR="00C85B55" w:rsidRPr="00661EC5">
        <w:rPr>
          <w:rFonts w:eastAsiaTheme="minorHAnsi"/>
        </w:rPr>
        <w:t>Overview of NTGR R</w:t>
      </w:r>
      <w:r w:rsidRPr="00661EC5">
        <w:rPr>
          <w:rFonts w:eastAsiaTheme="minorHAnsi"/>
        </w:rPr>
        <w:t xml:space="preserve">esults by </w:t>
      </w:r>
      <w:r w:rsidR="00C85B55" w:rsidRPr="00661EC5">
        <w:rPr>
          <w:rFonts w:eastAsiaTheme="minorHAnsi"/>
        </w:rPr>
        <w:t>M</w:t>
      </w:r>
      <w:r w:rsidRPr="00661EC5">
        <w:rPr>
          <w:rFonts w:eastAsiaTheme="minorHAnsi"/>
        </w:rPr>
        <w:t>easure</w:t>
      </w:r>
      <w:r w:rsidR="00C85B55" w:rsidRPr="00661EC5">
        <w:rPr>
          <w:rFonts w:eastAsiaTheme="minorHAnsi"/>
        </w:rPr>
        <w:t xml:space="preserve"> and</w:t>
      </w:r>
      <w:r w:rsidRPr="00661EC5">
        <w:rPr>
          <w:rFonts w:eastAsiaTheme="minorHAnsi"/>
        </w:rPr>
        <w:t xml:space="preserve"> </w:t>
      </w:r>
      <w:r w:rsidR="00C85B55" w:rsidRPr="00661EC5">
        <w:rPr>
          <w:rFonts w:eastAsiaTheme="minorHAnsi"/>
        </w:rPr>
        <w:t>D</w:t>
      </w:r>
      <w:r w:rsidRPr="00661EC5">
        <w:rPr>
          <w:rFonts w:eastAsiaTheme="minorHAnsi"/>
        </w:rPr>
        <w:t xml:space="preserve">elivery </w:t>
      </w:r>
      <w:r w:rsidR="00881049" w:rsidRPr="00661EC5">
        <w:rPr>
          <w:rFonts w:eastAsiaTheme="minorHAnsi"/>
        </w:rPr>
        <w:t>Approach</w:t>
      </w:r>
    </w:p>
    <w:tbl>
      <w:tblPr>
        <w:tblStyle w:val="ItronBasic"/>
        <w:tblW w:w="9655" w:type="dxa"/>
        <w:tblCellMar>
          <w:left w:w="115" w:type="dxa"/>
          <w:right w:w="115" w:type="dxa"/>
        </w:tblCellMar>
        <w:tblLook w:val="04A0"/>
      </w:tblPr>
      <w:tblGrid>
        <w:gridCol w:w="2095"/>
        <w:gridCol w:w="1620"/>
        <w:gridCol w:w="2880"/>
        <w:gridCol w:w="3060"/>
      </w:tblGrid>
      <w:tr w:rsidR="00B2276F" w:rsidTr="00312DEB">
        <w:trPr>
          <w:cnfStyle w:val="100000000000"/>
          <w:tblHeader/>
        </w:trPr>
        <w:tc>
          <w:tcPr>
            <w:tcW w:w="2095" w:type="dxa"/>
            <w:shd w:val="pct20" w:color="auto" w:fill="auto"/>
            <w:vAlign w:val="center"/>
          </w:tcPr>
          <w:p w:rsidR="00B2276F" w:rsidRDefault="00B2276F" w:rsidP="00312DEB">
            <w:pPr>
              <w:spacing w:after="0"/>
              <w:jc w:val="center"/>
              <w:rPr>
                <w:rFonts w:eastAsiaTheme="minorHAnsi"/>
              </w:rPr>
            </w:pPr>
            <w:r>
              <w:rPr>
                <w:rFonts w:eastAsiaTheme="minorHAnsi"/>
              </w:rPr>
              <w:t>Energy Efficiency Measure</w:t>
            </w:r>
          </w:p>
        </w:tc>
        <w:tc>
          <w:tcPr>
            <w:tcW w:w="1620" w:type="dxa"/>
            <w:shd w:val="pct20" w:color="auto" w:fill="auto"/>
            <w:vAlign w:val="center"/>
          </w:tcPr>
          <w:p w:rsidR="00B2276F" w:rsidRDefault="00B2276F" w:rsidP="00312DEB">
            <w:pPr>
              <w:spacing w:after="0"/>
              <w:jc w:val="center"/>
              <w:rPr>
                <w:rFonts w:eastAsiaTheme="minorHAnsi"/>
              </w:rPr>
            </w:pPr>
            <w:r>
              <w:rPr>
                <w:rFonts w:eastAsiaTheme="minorHAnsi"/>
              </w:rPr>
              <w:t>Delivery Mechanism</w:t>
            </w:r>
          </w:p>
        </w:tc>
        <w:tc>
          <w:tcPr>
            <w:tcW w:w="2880" w:type="dxa"/>
            <w:shd w:val="pct20" w:color="auto" w:fill="auto"/>
            <w:vAlign w:val="center"/>
          </w:tcPr>
          <w:p w:rsidR="00B2276F" w:rsidRDefault="00B2276F" w:rsidP="00312DEB">
            <w:pPr>
              <w:spacing w:after="0"/>
              <w:jc w:val="center"/>
              <w:rPr>
                <w:rFonts w:eastAsiaTheme="minorHAnsi"/>
              </w:rPr>
            </w:pPr>
            <w:r>
              <w:rPr>
                <w:rFonts w:eastAsiaTheme="minorHAnsi"/>
              </w:rPr>
              <w:t>Existing DEER NTGR  Values</w:t>
            </w:r>
            <w:r w:rsidR="00C85B55">
              <w:rPr>
                <w:rFonts w:eastAsiaTheme="minorHAnsi"/>
              </w:rPr>
              <w:t xml:space="preserve">  (</w:t>
            </w:r>
            <w:r w:rsidR="000B1D6F">
              <w:rPr>
                <w:rFonts w:eastAsiaTheme="minorHAnsi"/>
              </w:rPr>
              <w:t>Source)</w:t>
            </w:r>
          </w:p>
        </w:tc>
        <w:tc>
          <w:tcPr>
            <w:tcW w:w="3060" w:type="dxa"/>
            <w:shd w:val="pct20" w:color="auto" w:fill="auto"/>
            <w:vAlign w:val="center"/>
          </w:tcPr>
          <w:p w:rsidR="00B2276F" w:rsidRDefault="00C85B55" w:rsidP="00312DEB">
            <w:pPr>
              <w:spacing w:after="0"/>
              <w:jc w:val="center"/>
              <w:rPr>
                <w:rFonts w:eastAsiaTheme="minorHAnsi"/>
              </w:rPr>
            </w:pPr>
            <w:r>
              <w:rPr>
                <w:rFonts w:eastAsiaTheme="minorHAnsi"/>
              </w:rPr>
              <w:t>‘</w:t>
            </w:r>
            <w:r w:rsidR="00B2276F" w:rsidRPr="00A13F6D">
              <w:rPr>
                <w:rFonts w:eastAsiaTheme="minorHAnsi"/>
              </w:rPr>
              <w:t>06-</w:t>
            </w:r>
            <w:r>
              <w:rPr>
                <w:rFonts w:eastAsiaTheme="minorHAnsi"/>
              </w:rPr>
              <w:t>‘</w:t>
            </w:r>
            <w:r w:rsidR="00B2276F" w:rsidRPr="00A13F6D">
              <w:rPr>
                <w:rFonts w:eastAsiaTheme="minorHAnsi"/>
              </w:rPr>
              <w:t xml:space="preserve">08 NTGR  </w:t>
            </w:r>
            <w:r w:rsidR="00B2276F">
              <w:rPr>
                <w:rFonts w:eastAsiaTheme="minorHAnsi"/>
              </w:rPr>
              <w:t xml:space="preserve"> Results</w:t>
            </w:r>
            <w:r w:rsidR="000B1D6F">
              <w:rPr>
                <w:rFonts w:eastAsiaTheme="minorHAnsi"/>
              </w:rPr>
              <w:t xml:space="preserve"> (</w:t>
            </w:r>
            <w:r>
              <w:rPr>
                <w:rFonts w:eastAsiaTheme="minorHAnsi"/>
              </w:rPr>
              <w:t>S</w:t>
            </w:r>
            <w:r w:rsidR="000B1D6F">
              <w:rPr>
                <w:rFonts w:eastAsiaTheme="minorHAnsi"/>
              </w:rPr>
              <w:t>ource)</w:t>
            </w:r>
          </w:p>
        </w:tc>
      </w:tr>
      <w:tr w:rsidR="00B2276F" w:rsidTr="00312DEB">
        <w:tc>
          <w:tcPr>
            <w:tcW w:w="2095" w:type="dxa"/>
            <w:vAlign w:val="center"/>
          </w:tcPr>
          <w:p w:rsidR="00B2276F" w:rsidRPr="003D3FF2" w:rsidRDefault="00942E75" w:rsidP="00312DEB">
            <w:pPr>
              <w:spacing w:after="0"/>
              <w:rPr>
                <w:rFonts w:eastAsiaTheme="minorHAnsi"/>
                <w:sz w:val="18"/>
              </w:rPr>
            </w:pPr>
            <w:r w:rsidRPr="003D3FF2">
              <w:rPr>
                <w:rFonts w:eastAsiaTheme="minorHAnsi"/>
                <w:sz w:val="18"/>
              </w:rPr>
              <w:t>HVAC Maintenance: Refrigerant Charge Adjustment</w:t>
            </w:r>
          </w:p>
        </w:tc>
        <w:tc>
          <w:tcPr>
            <w:tcW w:w="1620" w:type="dxa"/>
            <w:vAlign w:val="center"/>
          </w:tcPr>
          <w:p w:rsidR="00B2276F" w:rsidRPr="003D3FF2" w:rsidRDefault="00942E75" w:rsidP="00312DEB">
            <w:pPr>
              <w:spacing w:after="0"/>
              <w:rPr>
                <w:rFonts w:eastAsiaTheme="minorHAnsi"/>
                <w:sz w:val="18"/>
              </w:rPr>
            </w:pPr>
            <w:r w:rsidRPr="003D3FF2">
              <w:rPr>
                <w:rFonts w:eastAsiaTheme="minorHAnsi"/>
                <w:sz w:val="18"/>
              </w:rPr>
              <w:t>Midstream</w:t>
            </w:r>
          </w:p>
        </w:tc>
        <w:tc>
          <w:tcPr>
            <w:tcW w:w="2880" w:type="dxa"/>
            <w:vAlign w:val="center"/>
          </w:tcPr>
          <w:p w:rsidR="00B2276F" w:rsidRPr="003D3FF2" w:rsidRDefault="00942E75" w:rsidP="00312DEB">
            <w:pPr>
              <w:spacing w:after="0"/>
              <w:rPr>
                <w:rFonts w:eastAsiaTheme="minorHAnsi"/>
                <w:sz w:val="18"/>
              </w:rPr>
            </w:pPr>
            <w:r w:rsidRPr="003D3FF2">
              <w:rPr>
                <w:rFonts w:eastAsiaTheme="minorHAnsi"/>
                <w:sz w:val="18"/>
              </w:rPr>
              <w:t xml:space="preserve">0.70, </w:t>
            </w:r>
            <w:r w:rsidR="000B1D6F" w:rsidRPr="003D3FF2">
              <w:rPr>
                <w:rFonts w:eastAsiaTheme="minorHAnsi"/>
                <w:sz w:val="18"/>
              </w:rPr>
              <w:t>Default</w:t>
            </w:r>
            <w:r w:rsidRPr="003D3FF2">
              <w:rPr>
                <w:rFonts w:eastAsiaTheme="minorHAnsi"/>
                <w:sz w:val="18"/>
              </w:rPr>
              <w:t xml:space="preserve"> value for </w:t>
            </w:r>
            <w:r w:rsidR="005C0D2F">
              <w:rPr>
                <w:rFonts w:eastAsiaTheme="minorHAnsi"/>
                <w:sz w:val="18"/>
              </w:rPr>
              <w:t>n</w:t>
            </w:r>
            <w:r w:rsidR="00577241">
              <w:rPr>
                <w:rFonts w:eastAsiaTheme="minorHAnsi"/>
                <w:sz w:val="18"/>
              </w:rPr>
              <w:t xml:space="preserve">ew </w:t>
            </w:r>
            <w:r w:rsidRPr="003D3FF2">
              <w:rPr>
                <w:rFonts w:eastAsiaTheme="minorHAnsi"/>
                <w:sz w:val="18"/>
              </w:rPr>
              <w:t xml:space="preserve">EEM not </w:t>
            </w:r>
            <w:r w:rsidR="007F1AFB">
              <w:rPr>
                <w:rFonts w:eastAsiaTheme="minorHAnsi"/>
                <w:sz w:val="18"/>
              </w:rPr>
              <w:t>o</w:t>
            </w:r>
            <w:r w:rsidRPr="003D3FF2">
              <w:rPr>
                <w:rFonts w:eastAsiaTheme="minorHAnsi"/>
                <w:sz w:val="18"/>
              </w:rPr>
              <w:t xml:space="preserve">therwise </w:t>
            </w:r>
            <w:r w:rsidR="007F1AFB">
              <w:rPr>
                <w:rFonts w:eastAsiaTheme="minorHAnsi"/>
                <w:sz w:val="18"/>
              </w:rPr>
              <w:t>a</w:t>
            </w:r>
            <w:r w:rsidRPr="003D3FF2">
              <w:rPr>
                <w:rFonts w:eastAsiaTheme="minorHAnsi"/>
                <w:sz w:val="18"/>
              </w:rPr>
              <w:t xml:space="preserve">ddressed </w:t>
            </w:r>
            <w:r w:rsidR="007F1AFB">
              <w:rPr>
                <w:rFonts w:eastAsiaTheme="minorHAnsi"/>
                <w:sz w:val="18"/>
              </w:rPr>
              <w:t xml:space="preserve">and delivery method </w:t>
            </w:r>
            <w:r w:rsidRPr="003D3FF2">
              <w:rPr>
                <w:rFonts w:eastAsiaTheme="minorHAnsi"/>
                <w:sz w:val="18"/>
              </w:rPr>
              <w:t xml:space="preserve">with no convincing strategies to </w:t>
            </w:r>
            <w:r w:rsidR="007F1AFB">
              <w:rPr>
                <w:rFonts w:eastAsiaTheme="minorHAnsi"/>
                <w:sz w:val="18"/>
              </w:rPr>
              <w:t xml:space="preserve">discourage </w:t>
            </w:r>
            <w:r w:rsidRPr="003D3FF2">
              <w:rPr>
                <w:rFonts w:eastAsiaTheme="minorHAnsi"/>
                <w:sz w:val="18"/>
              </w:rPr>
              <w:t>free-ridership</w:t>
            </w:r>
            <w:r w:rsidR="007F1AFB">
              <w:rPr>
                <w:rFonts w:eastAsiaTheme="minorHAnsi"/>
                <w:sz w:val="18"/>
              </w:rPr>
              <w:t xml:space="preserve"> or measures with moderate market share</w:t>
            </w:r>
          </w:p>
          <w:p w:rsidR="00A13A3F" w:rsidRPr="003D3FF2" w:rsidRDefault="00A13A3F" w:rsidP="00312DEB">
            <w:pPr>
              <w:spacing w:after="0"/>
              <w:rPr>
                <w:rFonts w:eastAsiaTheme="minorHAnsi"/>
                <w:sz w:val="18"/>
              </w:rPr>
            </w:pPr>
            <w:r w:rsidRPr="003D3FF2">
              <w:rPr>
                <w:rFonts w:eastAsiaTheme="minorHAnsi"/>
                <w:sz w:val="18"/>
              </w:rPr>
              <w:t>(Source:</w:t>
            </w:r>
            <w:r w:rsidR="007F1AFB">
              <w:rPr>
                <w:rFonts w:eastAsiaTheme="minorHAnsi"/>
                <w:sz w:val="18"/>
              </w:rPr>
              <w:t xml:space="preserve"> </w:t>
            </w:r>
            <w:r w:rsidR="007F1AFB" w:rsidRPr="007F293B">
              <w:rPr>
                <w:rFonts w:eastAsiaTheme="minorHAnsi"/>
                <w:sz w:val="18"/>
              </w:rPr>
              <w:t>Default</w:t>
            </w:r>
            <w:r w:rsidRPr="003D3FF2">
              <w:rPr>
                <w:rFonts w:eastAsiaTheme="minorHAnsi"/>
                <w:sz w:val="18"/>
              </w:rPr>
              <w:t>)</w:t>
            </w:r>
          </w:p>
        </w:tc>
        <w:tc>
          <w:tcPr>
            <w:tcW w:w="3060" w:type="dxa"/>
            <w:vAlign w:val="center"/>
          </w:tcPr>
          <w:p w:rsidR="00942E75" w:rsidRPr="003D3FF2" w:rsidRDefault="00942E75" w:rsidP="00312DEB">
            <w:pPr>
              <w:tabs>
                <w:tab w:val="left" w:pos="1170"/>
              </w:tabs>
              <w:spacing w:after="0"/>
              <w:rPr>
                <w:b/>
                <w:sz w:val="18"/>
                <w:szCs w:val="16"/>
              </w:rPr>
            </w:pPr>
            <w:r w:rsidRPr="003D3FF2">
              <w:rPr>
                <w:b/>
                <w:sz w:val="18"/>
                <w:szCs w:val="16"/>
              </w:rPr>
              <w:t>Program</w:t>
            </w:r>
            <w:r w:rsidRPr="003D3FF2">
              <w:rPr>
                <w:b/>
                <w:sz w:val="18"/>
                <w:szCs w:val="16"/>
              </w:rPr>
              <w:tab/>
              <w:t>NTGR</w:t>
            </w:r>
          </w:p>
          <w:p w:rsidR="00942E75" w:rsidRPr="003D3FF2" w:rsidRDefault="00CB4FF6" w:rsidP="00312DEB">
            <w:pPr>
              <w:tabs>
                <w:tab w:val="decimal" w:pos="696"/>
                <w:tab w:val="decimal" w:pos="1350"/>
                <w:tab w:val="decimal" w:pos="2051"/>
              </w:tabs>
              <w:spacing w:after="0"/>
              <w:rPr>
                <w:sz w:val="18"/>
                <w:szCs w:val="16"/>
              </w:rPr>
            </w:pPr>
            <w:r w:rsidRPr="003D3FF2">
              <w:rPr>
                <w:sz w:val="18"/>
                <w:szCs w:val="16"/>
              </w:rPr>
              <w:t>PG</w:t>
            </w:r>
            <w:r w:rsidR="00942E75" w:rsidRPr="003D3FF2">
              <w:rPr>
                <w:sz w:val="18"/>
                <w:szCs w:val="16"/>
              </w:rPr>
              <w:t>E2068</w:t>
            </w:r>
            <w:r w:rsidR="00942E75" w:rsidRPr="003D3FF2">
              <w:rPr>
                <w:sz w:val="18"/>
                <w:szCs w:val="16"/>
              </w:rPr>
              <w:tab/>
              <w:t>0.54</w:t>
            </w:r>
            <w:r w:rsidR="00942E75" w:rsidRPr="003D3FF2">
              <w:rPr>
                <w:sz w:val="18"/>
                <w:szCs w:val="16"/>
              </w:rPr>
              <w:tab/>
            </w:r>
          </w:p>
          <w:p w:rsidR="00942E75" w:rsidRPr="003D3FF2" w:rsidRDefault="00CB4FF6" w:rsidP="00312DEB">
            <w:pPr>
              <w:tabs>
                <w:tab w:val="decimal" w:pos="696"/>
                <w:tab w:val="decimal" w:pos="1350"/>
                <w:tab w:val="decimal" w:pos="2051"/>
              </w:tabs>
              <w:spacing w:after="0"/>
              <w:rPr>
                <w:sz w:val="18"/>
                <w:szCs w:val="16"/>
              </w:rPr>
            </w:pPr>
            <w:r w:rsidRPr="003D3FF2">
              <w:rPr>
                <w:sz w:val="18"/>
                <w:szCs w:val="16"/>
              </w:rPr>
              <w:t>PG</w:t>
            </w:r>
            <w:r w:rsidR="00942E75" w:rsidRPr="003D3FF2">
              <w:rPr>
                <w:sz w:val="18"/>
                <w:szCs w:val="16"/>
              </w:rPr>
              <w:t>E2080</w:t>
            </w:r>
            <w:r w:rsidR="00942E75" w:rsidRPr="003D3FF2">
              <w:rPr>
                <w:sz w:val="18"/>
                <w:szCs w:val="16"/>
              </w:rPr>
              <w:tab/>
              <w:t>0.55</w:t>
            </w:r>
            <w:r w:rsidR="00942E75" w:rsidRPr="003D3FF2">
              <w:rPr>
                <w:sz w:val="18"/>
                <w:szCs w:val="16"/>
              </w:rPr>
              <w:tab/>
            </w:r>
          </w:p>
          <w:p w:rsidR="00942E75" w:rsidRPr="003D3FF2" w:rsidRDefault="00A13A3F" w:rsidP="00312DEB">
            <w:pPr>
              <w:tabs>
                <w:tab w:val="decimal" w:pos="696"/>
                <w:tab w:val="decimal" w:pos="1350"/>
                <w:tab w:val="decimal" w:pos="2051"/>
              </w:tabs>
              <w:spacing w:after="0"/>
              <w:rPr>
                <w:sz w:val="18"/>
                <w:szCs w:val="16"/>
              </w:rPr>
            </w:pPr>
            <w:r w:rsidRPr="003D3FF2">
              <w:rPr>
                <w:sz w:val="18"/>
                <w:szCs w:val="16"/>
              </w:rPr>
              <w:t>SCE2507</w:t>
            </w:r>
            <w:r w:rsidR="003D3FF2">
              <w:rPr>
                <w:sz w:val="18"/>
                <w:szCs w:val="16"/>
              </w:rPr>
              <w:tab/>
            </w:r>
            <w:r w:rsidRPr="003D3FF2">
              <w:rPr>
                <w:sz w:val="18"/>
                <w:szCs w:val="16"/>
              </w:rPr>
              <w:tab/>
            </w:r>
            <w:r w:rsidR="00942E75" w:rsidRPr="003D3FF2">
              <w:rPr>
                <w:sz w:val="18"/>
                <w:szCs w:val="16"/>
              </w:rPr>
              <w:t>0.94</w:t>
            </w:r>
            <w:r w:rsidR="00942E75" w:rsidRPr="003D3FF2">
              <w:rPr>
                <w:sz w:val="18"/>
                <w:szCs w:val="16"/>
              </w:rPr>
              <w:tab/>
            </w:r>
          </w:p>
          <w:p w:rsidR="00B2276F" w:rsidRPr="003D3FF2" w:rsidRDefault="00CB4FF6" w:rsidP="00312DEB">
            <w:pPr>
              <w:tabs>
                <w:tab w:val="decimal" w:pos="0"/>
                <w:tab w:val="decimal" w:pos="1350"/>
                <w:tab w:val="decimal" w:pos="2051"/>
              </w:tabs>
              <w:spacing w:after="0"/>
              <w:rPr>
                <w:sz w:val="18"/>
                <w:szCs w:val="16"/>
              </w:rPr>
            </w:pPr>
            <w:r w:rsidRPr="003D3FF2">
              <w:rPr>
                <w:sz w:val="18"/>
                <w:szCs w:val="16"/>
              </w:rPr>
              <w:t>SDG</w:t>
            </w:r>
            <w:r w:rsidR="00942E75" w:rsidRPr="003D3FF2">
              <w:rPr>
                <w:sz w:val="18"/>
                <w:szCs w:val="16"/>
              </w:rPr>
              <w:t>E3043</w:t>
            </w:r>
            <w:r w:rsidR="00942E75" w:rsidRPr="003D3FF2">
              <w:rPr>
                <w:sz w:val="18"/>
                <w:szCs w:val="16"/>
              </w:rPr>
              <w:tab/>
              <w:t>0.70</w:t>
            </w:r>
            <w:r w:rsidR="00942E75" w:rsidRPr="003D3FF2">
              <w:rPr>
                <w:sz w:val="18"/>
                <w:szCs w:val="16"/>
              </w:rPr>
              <w:tab/>
            </w:r>
          </w:p>
          <w:p w:rsidR="00942E75" w:rsidRPr="00942E75" w:rsidRDefault="00942E75" w:rsidP="00312DEB">
            <w:pPr>
              <w:tabs>
                <w:tab w:val="decimal" w:pos="0"/>
                <w:tab w:val="decimal" w:pos="1151"/>
                <w:tab w:val="decimal" w:pos="2051"/>
              </w:tabs>
              <w:spacing w:after="0"/>
              <w:rPr>
                <w:sz w:val="16"/>
                <w:szCs w:val="16"/>
              </w:rPr>
            </w:pPr>
            <w:r w:rsidRPr="003D3FF2">
              <w:rPr>
                <w:sz w:val="18"/>
                <w:szCs w:val="16"/>
              </w:rPr>
              <w:t>(</w:t>
            </w:r>
            <w:r w:rsidR="00A13A3F" w:rsidRPr="003D3FF2">
              <w:rPr>
                <w:sz w:val="18"/>
                <w:szCs w:val="16"/>
              </w:rPr>
              <w:t xml:space="preserve">Source: </w:t>
            </w:r>
            <w:r w:rsidRPr="003D3FF2">
              <w:rPr>
                <w:sz w:val="18"/>
                <w:szCs w:val="16"/>
              </w:rPr>
              <w:t>HVAC HIM and Specialized Commercial</w:t>
            </w:r>
            <w:r w:rsidRPr="003D3FF2">
              <w:rPr>
                <w:sz w:val="14"/>
                <w:szCs w:val="16"/>
              </w:rPr>
              <w:t>)</w:t>
            </w:r>
            <w:r w:rsidRPr="003D3FF2">
              <w:rPr>
                <w:rStyle w:val="FootnoteReference"/>
                <w:sz w:val="14"/>
              </w:rPr>
              <w:footnoteReference w:id="1"/>
            </w:r>
          </w:p>
        </w:tc>
      </w:tr>
      <w:tr w:rsidR="00B2276F" w:rsidRPr="00A13A3F" w:rsidTr="00312DEB">
        <w:tc>
          <w:tcPr>
            <w:tcW w:w="2095" w:type="dxa"/>
            <w:vAlign w:val="center"/>
          </w:tcPr>
          <w:p w:rsidR="00B2276F" w:rsidRPr="003D3FF2" w:rsidRDefault="00A13A3F" w:rsidP="00312DEB">
            <w:pPr>
              <w:spacing w:after="0"/>
              <w:rPr>
                <w:rFonts w:eastAsiaTheme="minorHAnsi"/>
                <w:sz w:val="18"/>
              </w:rPr>
            </w:pPr>
            <w:r w:rsidRPr="003D3FF2">
              <w:rPr>
                <w:rFonts w:eastAsiaTheme="minorHAnsi"/>
                <w:sz w:val="18"/>
              </w:rPr>
              <w:t>RCx Packages</w:t>
            </w:r>
          </w:p>
        </w:tc>
        <w:tc>
          <w:tcPr>
            <w:tcW w:w="1620" w:type="dxa"/>
            <w:vAlign w:val="center"/>
          </w:tcPr>
          <w:p w:rsidR="00B2276F" w:rsidRPr="003D3FF2" w:rsidRDefault="00A13A3F" w:rsidP="00312DEB">
            <w:pPr>
              <w:spacing w:after="0"/>
              <w:rPr>
                <w:rFonts w:eastAsiaTheme="minorHAnsi"/>
                <w:sz w:val="18"/>
              </w:rPr>
            </w:pPr>
            <w:r w:rsidRPr="003D3FF2">
              <w:rPr>
                <w:rFonts w:eastAsiaTheme="minorHAnsi"/>
                <w:sz w:val="18"/>
              </w:rPr>
              <w:t>Customized Incentives, Downstream</w:t>
            </w:r>
          </w:p>
        </w:tc>
        <w:tc>
          <w:tcPr>
            <w:tcW w:w="2880" w:type="dxa"/>
            <w:vAlign w:val="center"/>
          </w:tcPr>
          <w:p w:rsidR="00B2276F" w:rsidRPr="003D3FF2" w:rsidRDefault="00A13A3F" w:rsidP="00312DEB">
            <w:pPr>
              <w:spacing w:after="0"/>
              <w:rPr>
                <w:rFonts w:eastAsiaTheme="minorHAnsi"/>
                <w:sz w:val="18"/>
              </w:rPr>
            </w:pPr>
            <w:r w:rsidRPr="003D3FF2">
              <w:rPr>
                <w:rFonts w:eastAsiaTheme="minorHAnsi"/>
                <w:sz w:val="18"/>
              </w:rPr>
              <w:t>0.90 for electric EEM,</w:t>
            </w:r>
          </w:p>
          <w:p w:rsidR="00A13A3F" w:rsidRPr="003D3FF2" w:rsidRDefault="00A13A3F" w:rsidP="00312DEB">
            <w:pPr>
              <w:spacing w:after="0"/>
              <w:rPr>
                <w:rFonts w:eastAsiaTheme="minorHAnsi"/>
                <w:sz w:val="18"/>
              </w:rPr>
            </w:pPr>
            <w:r w:rsidRPr="003D3FF2">
              <w:rPr>
                <w:rFonts w:eastAsiaTheme="minorHAnsi"/>
                <w:sz w:val="18"/>
              </w:rPr>
              <w:t>1.0 for Natural Gas EEM</w:t>
            </w:r>
          </w:p>
          <w:p w:rsidR="00A13A3F" w:rsidRPr="003D3FF2" w:rsidRDefault="00A13A3F" w:rsidP="00312DEB">
            <w:pPr>
              <w:spacing w:after="0"/>
              <w:rPr>
                <w:rFonts w:eastAsiaTheme="minorHAnsi"/>
                <w:sz w:val="18"/>
              </w:rPr>
            </w:pPr>
            <w:r w:rsidRPr="003D3FF2">
              <w:rPr>
                <w:rFonts w:eastAsiaTheme="minorHAnsi"/>
                <w:sz w:val="18"/>
              </w:rPr>
              <w:t xml:space="preserve">(Source: </w:t>
            </w:r>
            <w:r w:rsidR="009C5BA6">
              <w:rPr>
                <w:rFonts w:eastAsiaTheme="minorHAnsi"/>
                <w:sz w:val="18"/>
              </w:rPr>
              <w:t>Impact and Process Evaluation for QuEST’s ’04-’05 Building Tune-up P</w:t>
            </w:r>
            <w:r w:rsidR="00826B36">
              <w:rPr>
                <w:rFonts w:eastAsiaTheme="minorHAnsi"/>
                <w:sz w:val="18"/>
              </w:rPr>
              <w:t>ro</w:t>
            </w:r>
            <w:r w:rsidR="009C5BA6">
              <w:rPr>
                <w:rFonts w:eastAsiaTheme="minorHAnsi"/>
                <w:sz w:val="18"/>
              </w:rPr>
              <w:t>gr</w:t>
            </w:r>
            <w:r w:rsidR="00826B36">
              <w:rPr>
                <w:rFonts w:eastAsiaTheme="minorHAnsi"/>
                <w:sz w:val="18"/>
              </w:rPr>
              <w:t>a</w:t>
            </w:r>
            <w:r w:rsidR="009C5BA6">
              <w:rPr>
                <w:rFonts w:eastAsiaTheme="minorHAnsi"/>
                <w:sz w:val="18"/>
              </w:rPr>
              <w:t>m, and ’04-’05 PECI San Diego RCx Pr</w:t>
            </w:r>
            <w:r w:rsidR="00826B36">
              <w:rPr>
                <w:rFonts w:eastAsiaTheme="minorHAnsi"/>
                <w:sz w:val="18"/>
              </w:rPr>
              <w:t>o</w:t>
            </w:r>
            <w:r w:rsidR="009C5BA6">
              <w:rPr>
                <w:rFonts w:eastAsiaTheme="minorHAnsi"/>
                <w:sz w:val="18"/>
              </w:rPr>
              <w:t>gr</w:t>
            </w:r>
            <w:r w:rsidR="00826B36">
              <w:rPr>
                <w:rFonts w:eastAsiaTheme="minorHAnsi"/>
                <w:sz w:val="18"/>
              </w:rPr>
              <w:t>a</w:t>
            </w:r>
            <w:r w:rsidR="009C5BA6">
              <w:rPr>
                <w:rFonts w:eastAsiaTheme="minorHAnsi"/>
                <w:sz w:val="18"/>
              </w:rPr>
              <w:t>m Evaluation</w:t>
            </w:r>
            <w:r w:rsidRPr="003D3FF2">
              <w:rPr>
                <w:rFonts w:eastAsiaTheme="minorHAnsi"/>
                <w:sz w:val="18"/>
              </w:rPr>
              <w:t>)</w:t>
            </w:r>
            <w:r w:rsidR="009C5BA6" w:rsidRPr="00614BA7">
              <w:rPr>
                <w:rStyle w:val="FootnoteReference"/>
                <w:rFonts w:eastAsiaTheme="minorHAnsi"/>
                <w:sz w:val="14"/>
              </w:rPr>
              <w:footnoteReference w:id="2"/>
            </w:r>
            <w:r w:rsidR="0031286E" w:rsidRPr="0031286E">
              <w:rPr>
                <w:rFonts w:eastAsiaTheme="minorHAnsi"/>
                <w:sz w:val="18"/>
                <w:vertAlign w:val="superscript"/>
              </w:rPr>
              <w:t>,</w:t>
            </w:r>
            <w:r w:rsidR="00614BA7" w:rsidRPr="0031286E">
              <w:rPr>
                <w:rStyle w:val="FootnoteReference"/>
                <w:rFonts w:eastAsiaTheme="minorHAnsi"/>
                <w:sz w:val="14"/>
              </w:rPr>
              <w:footnoteReference w:id="3"/>
            </w:r>
          </w:p>
        </w:tc>
        <w:tc>
          <w:tcPr>
            <w:tcW w:w="3060" w:type="dxa"/>
            <w:vAlign w:val="center"/>
          </w:tcPr>
          <w:p w:rsidR="0055783D" w:rsidRPr="003D3FF2" w:rsidRDefault="0055783D" w:rsidP="00312DEB">
            <w:pPr>
              <w:tabs>
                <w:tab w:val="left" w:pos="613"/>
                <w:tab w:val="left" w:pos="990"/>
                <w:tab w:val="left" w:pos="1423"/>
                <w:tab w:val="left" w:pos="2053"/>
              </w:tabs>
              <w:spacing w:after="0"/>
              <w:rPr>
                <w:b/>
                <w:sz w:val="18"/>
                <w:szCs w:val="16"/>
              </w:rPr>
            </w:pPr>
            <w:r w:rsidRPr="003D3FF2">
              <w:rPr>
                <w:b/>
                <w:sz w:val="18"/>
                <w:szCs w:val="16"/>
              </w:rPr>
              <w:tab/>
            </w:r>
            <w:r w:rsidRPr="003D3FF2">
              <w:rPr>
                <w:b/>
                <w:sz w:val="18"/>
                <w:szCs w:val="16"/>
              </w:rPr>
              <w:tab/>
              <w:t>NTGR</w:t>
            </w:r>
            <w:r w:rsidRPr="003D3FF2">
              <w:rPr>
                <w:b/>
                <w:sz w:val="18"/>
                <w:szCs w:val="16"/>
              </w:rPr>
              <w:tab/>
            </w:r>
          </w:p>
          <w:p w:rsidR="0055783D" w:rsidRPr="003D3FF2" w:rsidRDefault="0055783D" w:rsidP="00312DEB">
            <w:pPr>
              <w:tabs>
                <w:tab w:val="left" w:pos="613"/>
                <w:tab w:val="left" w:pos="1063"/>
                <w:tab w:val="left" w:pos="1423"/>
                <w:tab w:val="left" w:pos="2053"/>
              </w:tabs>
              <w:spacing w:after="0"/>
              <w:rPr>
                <w:b/>
                <w:sz w:val="18"/>
                <w:szCs w:val="16"/>
              </w:rPr>
            </w:pPr>
            <w:r w:rsidRPr="003D3FF2">
              <w:rPr>
                <w:b/>
                <w:sz w:val="18"/>
                <w:szCs w:val="16"/>
              </w:rPr>
              <w:tab/>
              <w:t>kWh</w:t>
            </w:r>
            <w:r w:rsidRPr="003D3FF2">
              <w:rPr>
                <w:b/>
                <w:sz w:val="18"/>
                <w:szCs w:val="16"/>
              </w:rPr>
              <w:tab/>
              <w:t>kW</w:t>
            </w:r>
            <w:r w:rsidRPr="003D3FF2">
              <w:rPr>
                <w:b/>
                <w:sz w:val="18"/>
                <w:szCs w:val="16"/>
              </w:rPr>
              <w:tab/>
              <w:t>Therms</w:t>
            </w:r>
          </w:p>
          <w:p w:rsidR="0055783D" w:rsidRPr="003D3FF2" w:rsidRDefault="00CB4FF6" w:rsidP="00312DEB">
            <w:pPr>
              <w:tabs>
                <w:tab w:val="decimal" w:pos="687"/>
                <w:tab w:val="decimal" w:pos="1151"/>
                <w:tab w:val="decimal" w:pos="1710"/>
                <w:tab w:val="decimal" w:pos="2411"/>
              </w:tabs>
              <w:spacing w:after="0"/>
              <w:rPr>
                <w:sz w:val="18"/>
                <w:szCs w:val="16"/>
              </w:rPr>
            </w:pPr>
            <w:r w:rsidRPr="003D3FF2">
              <w:rPr>
                <w:sz w:val="18"/>
                <w:szCs w:val="16"/>
              </w:rPr>
              <w:t>PG</w:t>
            </w:r>
            <w:r w:rsidR="0055783D" w:rsidRPr="003D3FF2">
              <w:rPr>
                <w:sz w:val="18"/>
                <w:szCs w:val="16"/>
              </w:rPr>
              <w:t>E</w:t>
            </w:r>
            <w:r w:rsidR="0055783D" w:rsidRPr="003D3FF2">
              <w:rPr>
                <w:sz w:val="18"/>
                <w:szCs w:val="16"/>
              </w:rPr>
              <w:tab/>
              <w:t>0.80</w:t>
            </w:r>
            <w:r w:rsidR="0055783D" w:rsidRPr="003D3FF2">
              <w:rPr>
                <w:sz w:val="18"/>
                <w:szCs w:val="16"/>
              </w:rPr>
              <w:tab/>
              <w:t>0.76</w:t>
            </w:r>
            <w:r w:rsidR="0055783D" w:rsidRPr="003D3FF2">
              <w:rPr>
                <w:sz w:val="18"/>
                <w:szCs w:val="16"/>
              </w:rPr>
              <w:tab/>
              <w:t>0.86</w:t>
            </w:r>
            <w:r w:rsidR="0055783D" w:rsidRPr="003D3FF2">
              <w:rPr>
                <w:sz w:val="18"/>
                <w:szCs w:val="16"/>
              </w:rPr>
              <w:tab/>
              <w:t>73</w:t>
            </w:r>
          </w:p>
          <w:p w:rsidR="0055783D" w:rsidRPr="003D3FF2" w:rsidRDefault="0055783D" w:rsidP="00312DEB">
            <w:pPr>
              <w:tabs>
                <w:tab w:val="decimal" w:pos="687"/>
                <w:tab w:val="decimal" w:pos="1151"/>
                <w:tab w:val="decimal" w:pos="1710"/>
                <w:tab w:val="decimal" w:pos="2411"/>
              </w:tabs>
              <w:spacing w:after="0"/>
              <w:rPr>
                <w:sz w:val="18"/>
                <w:szCs w:val="16"/>
              </w:rPr>
            </w:pPr>
            <w:r w:rsidRPr="003D3FF2">
              <w:rPr>
                <w:sz w:val="18"/>
                <w:szCs w:val="16"/>
              </w:rPr>
              <w:t>SCE</w:t>
            </w:r>
            <w:r w:rsidRPr="003D3FF2">
              <w:rPr>
                <w:sz w:val="18"/>
                <w:szCs w:val="16"/>
              </w:rPr>
              <w:tab/>
              <w:t>0.86</w:t>
            </w:r>
            <w:r w:rsidRPr="003D3FF2">
              <w:rPr>
                <w:sz w:val="18"/>
                <w:szCs w:val="16"/>
              </w:rPr>
              <w:tab/>
              <w:t>0.78</w:t>
            </w:r>
            <w:r w:rsidRPr="003D3FF2">
              <w:rPr>
                <w:sz w:val="18"/>
                <w:szCs w:val="16"/>
              </w:rPr>
              <w:tab/>
              <w:t>0.91</w:t>
            </w:r>
            <w:r w:rsidRPr="003D3FF2">
              <w:rPr>
                <w:sz w:val="18"/>
                <w:szCs w:val="16"/>
              </w:rPr>
              <w:tab/>
              <w:t>29</w:t>
            </w:r>
          </w:p>
          <w:p w:rsidR="0055783D" w:rsidRPr="003D3FF2" w:rsidRDefault="0055783D" w:rsidP="00312DEB">
            <w:pPr>
              <w:tabs>
                <w:tab w:val="decimal" w:pos="687"/>
                <w:tab w:val="decimal" w:pos="1151"/>
                <w:tab w:val="decimal" w:pos="1710"/>
                <w:tab w:val="decimal" w:pos="2411"/>
              </w:tabs>
              <w:spacing w:after="0"/>
              <w:rPr>
                <w:sz w:val="18"/>
                <w:szCs w:val="16"/>
              </w:rPr>
            </w:pPr>
            <w:r w:rsidRPr="003D3FF2">
              <w:rPr>
                <w:sz w:val="18"/>
                <w:szCs w:val="16"/>
              </w:rPr>
              <w:t>SCG</w:t>
            </w:r>
            <w:r w:rsidRPr="003D3FF2">
              <w:rPr>
                <w:sz w:val="18"/>
                <w:szCs w:val="16"/>
              </w:rPr>
              <w:tab/>
              <w:t>-</w:t>
            </w:r>
            <w:r w:rsidRPr="003D3FF2">
              <w:rPr>
                <w:sz w:val="18"/>
                <w:szCs w:val="16"/>
              </w:rPr>
              <w:tab/>
              <w:t>-</w:t>
            </w:r>
            <w:r w:rsidRPr="003D3FF2">
              <w:rPr>
                <w:sz w:val="18"/>
                <w:szCs w:val="16"/>
              </w:rPr>
              <w:tab/>
              <w:t>0.92</w:t>
            </w:r>
            <w:r w:rsidRPr="003D3FF2">
              <w:rPr>
                <w:sz w:val="18"/>
                <w:szCs w:val="16"/>
              </w:rPr>
              <w:tab/>
              <w:t>15</w:t>
            </w:r>
          </w:p>
          <w:p w:rsidR="0055783D" w:rsidRPr="003D3FF2" w:rsidRDefault="00CB4FF6" w:rsidP="00312DEB">
            <w:pPr>
              <w:tabs>
                <w:tab w:val="left" w:pos="0"/>
                <w:tab w:val="decimal" w:pos="720"/>
                <w:tab w:val="decimal" w:pos="1170"/>
                <w:tab w:val="decimal" w:pos="1710"/>
              </w:tabs>
              <w:spacing w:after="0"/>
              <w:rPr>
                <w:rFonts w:eastAsiaTheme="minorHAnsi"/>
                <w:sz w:val="18"/>
              </w:rPr>
            </w:pPr>
            <w:r w:rsidRPr="003D3FF2">
              <w:rPr>
                <w:sz w:val="18"/>
                <w:szCs w:val="16"/>
              </w:rPr>
              <w:t>SDG</w:t>
            </w:r>
            <w:r w:rsidR="0055783D" w:rsidRPr="003D3FF2">
              <w:rPr>
                <w:sz w:val="18"/>
                <w:szCs w:val="16"/>
              </w:rPr>
              <w:t>E</w:t>
            </w:r>
            <w:r w:rsidR="0055783D" w:rsidRPr="003D3FF2">
              <w:rPr>
                <w:sz w:val="18"/>
                <w:szCs w:val="16"/>
              </w:rPr>
              <w:tab/>
              <w:t>0.75</w:t>
            </w:r>
            <w:r w:rsidRPr="003D3FF2">
              <w:rPr>
                <w:sz w:val="18"/>
                <w:szCs w:val="16"/>
              </w:rPr>
              <w:tab/>
            </w:r>
            <w:r w:rsidR="0055783D" w:rsidRPr="003D3FF2">
              <w:rPr>
                <w:sz w:val="18"/>
                <w:szCs w:val="16"/>
              </w:rPr>
              <w:t>0.75</w:t>
            </w:r>
            <w:r w:rsidR="0055783D" w:rsidRPr="003D3FF2">
              <w:rPr>
                <w:sz w:val="18"/>
                <w:szCs w:val="16"/>
              </w:rPr>
              <w:tab/>
              <w:t>0.68</w:t>
            </w:r>
            <w:r w:rsidR="0055783D" w:rsidRPr="003D3FF2">
              <w:rPr>
                <w:rFonts w:eastAsiaTheme="minorHAnsi"/>
                <w:sz w:val="18"/>
              </w:rPr>
              <w:t xml:space="preserve"> </w:t>
            </w:r>
          </w:p>
          <w:p w:rsidR="00B2276F" w:rsidRPr="003D3FF2" w:rsidRDefault="00A13A3F" w:rsidP="00312DEB">
            <w:pPr>
              <w:spacing w:after="0"/>
              <w:rPr>
                <w:rFonts w:eastAsiaTheme="minorHAnsi"/>
                <w:sz w:val="18"/>
              </w:rPr>
            </w:pPr>
            <w:r w:rsidRPr="003D3FF2">
              <w:rPr>
                <w:rFonts w:eastAsiaTheme="minorHAnsi"/>
                <w:sz w:val="18"/>
              </w:rPr>
              <w:t>(Source:</w:t>
            </w:r>
            <w:r w:rsidR="00CB4FF6" w:rsidRPr="003D3FF2">
              <w:rPr>
                <w:rFonts w:eastAsiaTheme="minorHAnsi"/>
                <w:sz w:val="18"/>
              </w:rPr>
              <w:t xml:space="preserve"> RCx Impact Evaluation</w:t>
            </w:r>
            <w:r w:rsidRPr="003D3FF2">
              <w:rPr>
                <w:rFonts w:eastAsiaTheme="minorHAnsi"/>
                <w:sz w:val="18"/>
              </w:rPr>
              <w:t>)</w:t>
            </w:r>
            <w:r w:rsidR="00CB4FF6" w:rsidRPr="003D3FF2">
              <w:rPr>
                <w:rStyle w:val="FootnoteReference"/>
                <w:rFonts w:eastAsiaTheme="minorHAnsi"/>
                <w:sz w:val="14"/>
              </w:rPr>
              <w:footnoteReference w:id="4"/>
            </w:r>
          </w:p>
        </w:tc>
      </w:tr>
      <w:tr w:rsidR="00B2276F" w:rsidRPr="00A13A3F" w:rsidTr="00312DEB">
        <w:tc>
          <w:tcPr>
            <w:tcW w:w="2095" w:type="dxa"/>
            <w:vAlign w:val="center"/>
          </w:tcPr>
          <w:p w:rsidR="00B2276F" w:rsidRPr="003D3FF2" w:rsidRDefault="00CB4FF6" w:rsidP="00312DEB">
            <w:pPr>
              <w:spacing w:after="0"/>
              <w:rPr>
                <w:rFonts w:eastAsiaTheme="minorHAnsi"/>
                <w:sz w:val="18"/>
              </w:rPr>
            </w:pPr>
            <w:r w:rsidRPr="003D3FF2">
              <w:rPr>
                <w:rFonts w:eastAsiaTheme="minorHAnsi"/>
                <w:sz w:val="18"/>
              </w:rPr>
              <w:t>Chiller Replacements</w:t>
            </w:r>
          </w:p>
        </w:tc>
        <w:tc>
          <w:tcPr>
            <w:tcW w:w="1620" w:type="dxa"/>
            <w:vAlign w:val="center"/>
          </w:tcPr>
          <w:p w:rsidR="00B2276F" w:rsidRPr="003D3FF2" w:rsidRDefault="00CB4FF6" w:rsidP="00312DEB">
            <w:pPr>
              <w:spacing w:after="0"/>
              <w:rPr>
                <w:rFonts w:eastAsiaTheme="minorHAnsi"/>
                <w:sz w:val="18"/>
              </w:rPr>
            </w:pPr>
            <w:r w:rsidRPr="003D3FF2">
              <w:rPr>
                <w:rFonts w:eastAsiaTheme="minorHAnsi"/>
                <w:sz w:val="18"/>
              </w:rPr>
              <w:t>Customized Incentives</w:t>
            </w:r>
          </w:p>
        </w:tc>
        <w:tc>
          <w:tcPr>
            <w:tcW w:w="2880" w:type="dxa"/>
            <w:vAlign w:val="center"/>
          </w:tcPr>
          <w:p w:rsidR="00CB4FF6" w:rsidRPr="003D3FF2" w:rsidRDefault="00CB4FF6" w:rsidP="00312DEB">
            <w:pPr>
              <w:spacing w:after="0"/>
              <w:rPr>
                <w:rFonts w:eastAsiaTheme="minorHAnsi"/>
                <w:sz w:val="18"/>
              </w:rPr>
            </w:pPr>
            <w:r w:rsidRPr="003D3FF2">
              <w:rPr>
                <w:rFonts w:eastAsiaTheme="minorHAnsi"/>
                <w:sz w:val="18"/>
              </w:rPr>
              <w:t>0.64, All HVAC for Non-</w:t>
            </w:r>
            <w:r w:rsidR="00957889" w:rsidRPr="003D3FF2">
              <w:rPr>
                <w:rFonts w:eastAsiaTheme="minorHAnsi"/>
                <w:sz w:val="18"/>
              </w:rPr>
              <w:t>R</w:t>
            </w:r>
            <w:r w:rsidRPr="003D3FF2">
              <w:rPr>
                <w:rFonts w:eastAsiaTheme="minorHAnsi"/>
                <w:sz w:val="18"/>
              </w:rPr>
              <w:t>esidential</w:t>
            </w:r>
            <w:r w:rsidR="00957889" w:rsidRPr="003D3FF2">
              <w:rPr>
                <w:rFonts w:eastAsiaTheme="minorHAnsi"/>
                <w:sz w:val="18"/>
              </w:rPr>
              <w:t xml:space="preserve"> Customized Incentives</w:t>
            </w:r>
          </w:p>
          <w:p w:rsidR="00B2276F" w:rsidRPr="003D3FF2" w:rsidRDefault="00A13A3F" w:rsidP="00312DEB">
            <w:pPr>
              <w:spacing w:after="0"/>
              <w:rPr>
                <w:rFonts w:eastAsiaTheme="minorHAnsi"/>
                <w:sz w:val="18"/>
              </w:rPr>
            </w:pPr>
            <w:r w:rsidRPr="003D3FF2">
              <w:rPr>
                <w:rFonts w:eastAsiaTheme="minorHAnsi"/>
                <w:sz w:val="18"/>
              </w:rPr>
              <w:t xml:space="preserve">(Source: </w:t>
            </w:r>
            <w:r w:rsidR="0031286E">
              <w:rPr>
                <w:rFonts w:eastAsiaTheme="minorHAnsi"/>
                <w:sz w:val="18"/>
              </w:rPr>
              <w:t>‘</w:t>
            </w:r>
            <w:r w:rsidR="0031286E" w:rsidRPr="0031286E">
              <w:rPr>
                <w:rFonts w:eastAsiaTheme="minorHAnsi"/>
                <w:sz w:val="18"/>
              </w:rPr>
              <w:t>04-</w:t>
            </w:r>
            <w:r w:rsidR="0031286E">
              <w:rPr>
                <w:rFonts w:eastAsiaTheme="minorHAnsi"/>
                <w:sz w:val="18"/>
              </w:rPr>
              <w:t>‘</w:t>
            </w:r>
            <w:r w:rsidR="0031286E" w:rsidRPr="0031286E">
              <w:rPr>
                <w:rFonts w:eastAsiaTheme="minorHAnsi"/>
                <w:sz w:val="18"/>
              </w:rPr>
              <w:t xml:space="preserve">05 SPC </w:t>
            </w:r>
            <w:r w:rsidR="0031286E">
              <w:rPr>
                <w:rFonts w:eastAsiaTheme="minorHAnsi"/>
                <w:sz w:val="18"/>
              </w:rPr>
              <w:t>Program Impact Evaluation</w:t>
            </w:r>
            <w:r w:rsidR="007F293B">
              <w:rPr>
                <w:rFonts w:eastAsiaTheme="minorHAnsi"/>
                <w:sz w:val="18"/>
              </w:rPr>
              <w:t>; adjusted</w:t>
            </w:r>
            <w:r w:rsidRPr="003D3FF2">
              <w:rPr>
                <w:rFonts w:eastAsiaTheme="minorHAnsi"/>
                <w:sz w:val="18"/>
              </w:rPr>
              <w:t>)</w:t>
            </w:r>
            <w:r w:rsidR="0031286E">
              <w:rPr>
                <w:rStyle w:val="FootnoteReference"/>
                <w:rFonts w:eastAsiaTheme="minorHAnsi"/>
              </w:rPr>
              <w:footnoteReference w:id="5"/>
            </w:r>
          </w:p>
        </w:tc>
        <w:tc>
          <w:tcPr>
            <w:tcW w:w="3060" w:type="dxa"/>
            <w:vAlign w:val="center"/>
          </w:tcPr>
          <w:p w:rsidR="00957889" w:rsidRPr="003D3FF2" w:rsidRDefault="00957889" w:rsidP="00312DEB">
            <w:pPr>
              <w:tabs>
                <w:tab w:val="left" w:pos="1170"/>
                <w:tab w:val="left" w:pos="1872"/>
              </w:tabs>
              <w:spacing w:after="0"/>
              <w:rPr>
                <w:b/>
                <w:sz w:val="18"/>
                <w:szCs w:val="16"/>
              </w:rPr>
            </w:pPr>
            <w:r w:rsidRPr="003D3FF2">
              <w:rPr>
                <w:sz w:val="18"/>
                <w:szCs w:val="16"/>
              </w:rPr>
              <w:tab/>
            </w:r>
            <w:r w:rsidRPr="003D3FF2">
              <w:rPr>
                <w:b/>
                <w:sz w:val="18"/>
                <w:szCs w:val="16"/>
              </w:rPr>
              <w:t>NTGR</w:t>
            </w:r>
          </w:p>
          <w:p w:rsidR="00957889" w:rsidRPr="003D3FF2" w:rsidRDefault="00957889" w:rsidP="00312DEB">
            <w:pPr>
              <w:tabs>
                <w:tab w:val="decimal" w:pos="1440"/>
                <w:tab w:val="decimal" w:pos="1890"/>
              </w:tabs>
              <w:spacing w:after="0"/>
              <w:rPr>
                <w:b/>
                <w:sz w:val="18"/>
                <w:szCs w:val="16"/>
              </w:rPr>
            </w:pPr>
            <w:r w:rsidRPr="003D3FF2">
              <w:rPr>
                <w:b/>
                <w:sz w:val="18"/>
                <w:szCs w:val="16"/>
              </w:rPr>
              <w:tab/>
              <w:t>kWh</w:t>
            </w:r>
            <w:r w:rsidRPr="003D3FF2">
              <w:rPr>
                <w:b/>
                <w:sz w:val="18"/>
                <w:szCs w:val="16"/>
              </w:rPr>
              <w:tab/>
              <w:t>kW</w:t>
            </w:r>
          </w:p>
          <w:p w:rsidR="00957889" w:rsidRPr="003D3FF2" w:rsidRDefault="00957889" w:rsidP="00312DEB">
            <w:pPr>
              <w:tabs>
                <w:tab w:val="decimal" w:pos="1170"/>
                <w:tab w:val="decimal" w:pos="1710"/>
                <w:tab w:val="decimal" w:pos="2232"/>
                <w:tab w:val="decimal" w:pos="2592"/>
              </w:tabs>
              <w:spacing w:after="0"/>
              <w:rPr>
                <w:sz w:val="18"/>
                <w:szCs w:val="16"/>
              </w:rPr>
            </w:pPr>
            <w:r w:rsidRPr="003D3FF2">
              <w:rPr>
                <w:sz w:val="18"/>
                <w:szCs w:val="16"/>
              </w:rPr>
              <w:t>SCE2517</w:t>
            </w:r>
            <w:r w:rsidRPr="003D3FF2">
              <w:rPr>
                <w:sz w:val="18"/>
                <w:szCs w:val="16"/>
              </w:rPr>
              <w:tab/>
              <w:t>0.59</w:t>
            </w:r>
            <w:r w:rsidRPr="003D3FF2">
              <w:rPr>
                <w:sz w:val="18"/>
                <w:szCs w:val="16"/>
              </w:rPr>
              <w:tab/>
              <w:t>0.57</w:t>
            </w:r>
          </w:p>
          <w:p w:rsidR="00957889" w:rsidRPr="003D3FF2" w:rsidRDefault="00957889" w:rsidP="00312DEB">
            <w:pPr>
              <w:tabs>
                <w:tab w:val="decimal" w:pos="1170"/>
                <w:tab w:val="decimal" w:pos="1710"/>
                <w:tab w:val="decimal" w:pos="2232"/>
                <w:tab w:val="decimal" w:pos="2588"/>
              </w:tabs>
              <w:spacing w:after="0"/>
              <w:rPr>
                <w:sz w:val="18"/>
                <w:szCs w:val="16"/>
              </w:rPr>
            </w:pPr>
            <w:r w:rsidRPr="003D3FF2">
              <w:rPr>
                <w:sz w:val="18"/>
                <w:szCs w:val="16"/>
              </w:rPr>
              <w:t>SDGE3010</w:t>
            </w:r>
            <w:r w:rsidRPr="003D3FF2">
              <w:rPr>
                <w:sz w:val="18"/>
                <w:szCs w:val="16"/>
              </w:rPr>
              <w:tab/>
              <w:t>0.70</w:t>
            </w:r>
            <w:r w:rsidRPr="003D3FF2">
              <w:rPr>
                <w:sz w:val="18"/>
                <w:szCs w:val="16"/>
              </w:rPr>
              <w:tab/>
              <w:t>0.68</w:t>
            </w:r>
          </w:p>
          <w:p w:rsidR="00B2276F" w:rsidRPr="003D3FF2" w:rsidRDefault="00957889" w:rsidP="00312DEB">
            <w:pPr>
              <w:tabs>
                <w:tab w:val="decimal" w:pos="0"/>
                <w:tab w:val="decimal" w:pos="1170"/>
                <w:tab w:val="decimal" w:pos="1710"/>
              </w:tabs>
              <w:spacing w:after="0"/>
              <w:rPr>
                <w:rFonts w:eastAsiaTheme="minorHAnsi"/>
                <w:sz w:val="18"/>
              </w:rPr>
            </w:pPr>
            <w:r w:rsidRPr="003D3FF2">
              <w:rPr>
                <w:sz w:val="18"/>
                <w:szCs w:val="16"/>
              </w:rPr>
              <w:t>SDGE3025</w:t>
            </w:r>
            <w:r w:rsidRPr="003D3FF2">
              <w:rPr>
                <w:sz w:val="18"/>
                <w:szCs w:val="16"/>
              </w:rPr>
              <w:tab/>
              <w:t>0.56</w:t>
            </w:r>
            <w:r w:rsidRPr="003D3FF2">
              <w:rPr>
                <w:sz w:val="18"/>
                <w:szCs w:val="16"/>
              </w:rPr>
              <w:tab/>
              <w:t>0.54</w:t>
            </w:r>
            <w:r w:rsidRPr="003D3FF2">
              <w:rPr>
                <w:rFonts w:eastAsiaTheme="minorHAnsi"/>
                <w:sz w:val="18"/>
              </w:rPr>
              <w:t xml:space="preserve"> </w:t>
            </w:r>
            <w:r w:rsidR="00A13A3F" w:rsidRPr="003D3FF2">
              <w:rPr>
                <w:rFonts w:eastAsiaTheme="minorHAnsi"/>
                <w:sz w:val="18"/>
              </w:rPr>
              <w:t xml:space="preserve">(Source: </w:t>
            </w:r>
            <w:r w:rsidRPr="003D3FF2">
              <w:rPr>
                <w:rFonts w:eastAsiaTheme="minorHAnsi"/>
                <w:sz w:val="18"/>
              </w:rPr>
              <w:t>Major Customer Impact Evaluation</w:t>
            </w:r>
            <w:r w:rsidR="00A13A3F" w:rsidRPr="003D3FF2">
              <w:rPr>
                <w:rFonts w:eastAsiaTheme="minorHAnsi"/>
                <w:sz w:val="18"/>
              </w:rPr>
              <w:t>)</w:t>
            </w:r>
            <w:r w:rsidRPr="00F75096">
              <w:rPr>
                <w:rStyle w:val="FootnoteReference"/>
                <w:rFonts w:eastAsiaTheme="minorHAnsi"/>
                <w:sz w:val="14"/>
              </w:rPr>
              <w:footnoteReference w:id="6"/>
            </w:r>
          </w:p>
        </w:tc>
      </w:tr>
      <w:tr w:rsidR="00B2276F" w:rsidRPr="0063509F" w:rsidTr="00312DEB">
        <w:trPr>
          <w:cantSplit/>
        </w:trPr>
        <w:tc>
          <w:tcPr>
            <w:tcW w:w="2095" w:type="dxa"/>
            <w:vAlign w:val="center"/>
          </w:tcPr>
          <w:p w:rsidR="00B2276F" w:rsidRPr="0063509F" w:rsidRDefault="00026BEC" w:rsidP="003D3FF2">
            <w:pPr>
              <w:spacing w:after="0"/>
              <w:rPr>
                <w:rFonts w:eastAsiaTheme="minorHAnsi"/>
                <w:sz w:val="18"/>
                <w:szCs w:val="18"/>
              </w:rPr>
            </w:pPr>
            <w:r w:rsidRPr="0063509F">
              <w:rPr>
                <w:rFonts w:eastAsiaTheme="minorHAnsi"/>
                <w:sz w:val="18"/>
                <w:szCs w:val="18"/>
              </w:rPr>
              <w:t>Package and Split System Air Conditioner and Heat Pump Replacements</w:t>
            </w:r>
          </w:p>
        </w:tc>
        <w:tc>
          <w:tcPr>
            <w:tcW w:w="1620" w:type="dxa"/>
            <w:vAlign w:val="center"/>
          </w:tcPr>
          <w:p w:rsidR="00B2276F" w:rsidRPr="0063509F" w:rsidRDefault="00026BEC" w:rsidP="00942E75">
            <w:pPr>
              <w:spacing w:after="0"/>
              <w:rPr>
                <w:rFonts w:eastAsiaTheme="minorHAnsi"/>
                <w:sz w:val="18"/>
                <w:szCs w:val="18"/>
              </w:rPr>
            </w:pPr>
            <w:r w:rsidRPr="0063509F">
              <w:rPr>
                <w:rFonts w:eastAsiaTheme="minorHAnsi"/>
                <w:sz w:val="18"/>
                <w:szCs w:val="18"/>
              </w:rPr>
              <w:t>Upstream</w:t>
            </w:r>
          </w:p>
        </w:tc>
        <w:tc>
          <w:tcPr>
            <w:tcW w:w="2880" w:type="dxa"/>
            <w:vAlign w:val="center"/>
          </w:tcPr>
          <w:p w:rsidR="00EC7152" w:rsidRPr="0063509F" w:rsidRDefault="00026BEC" w:rsidP="00942E75">
            <w:pPr>
              <w:spacing w:after="0"/>
              <w:rPr>
                <w:rFonts w:eastAsiaTheme="minorHAnsi"/>
                <w:sz w:val="18"/>
                <w:szCs w:val="18"/>
              </w:rPr>
            </w:pPr>
            <w:r w:rsidRPr="0063509F">
              <w:rPr>
                <w:rFonts w:eastAsiaTheme="minorHAnsi"/>
                <w:sz w:val="18"/>
                <w:szCs w:val="18"/>
              </w:rPr>
              <w:t>0.85, Upstream Prescriptive Rebates for Packaged AC Systems</w:t>
            </w:r>
            <w:r w:rsidR="00EC7152" w:rsidRPr="0063509F">
              <w:rPr>
                <w:rFonts w:eastAsiaTheme="minorHAnsi"/>
                <w:sz w:val="18"/>
                <w:szCs w:val="18"/>
              </w:rPr>
              <w:t xml:space="preserve"> (65-135 kBTU/hr)</w:t>
            </w:r>
          </w:p>
          <w:p w:rsidR="00B2276F" w:rsidRPr="0063509F" w:rsidRDefault="00A13A3F" w:rsidP="002D4FB8">
            <w:pPr>
              <w:spacing w:after="0"/>
              <w:rPr>
                <w:rFonts w:eastAsiaTheme="minorHAnsi"/>
                <w:sz w:val="18"/>
                <w:szCs w:val="18"/>
              </w:rPr>
            </w:pPr>
            <w:r w:rsidRPr="0063509F">
              <w:rPr>
                <w:rFonts w:eastAsiaTheme="minorHAnsi"/>
                <w:sz w:val="18"/>
                <w:szCs w:val="18"/>
              </w:rPr>
              <w:t xml:space="preserve">(Source: </w:t>
            </w:r>
            <w:r w:rsidR="006148F7" w:rsidRPr="002D4FB8">
              <w:rPr>
                <w:rFonts w:eastAsiaTheme="minorHAnsi"/>
                <w:sz w:val="18"/>
                <w:szCs w:val="18"/>
              </w:rPr>
              <w:t xml:space="preserve">‘04-‘05 </w:t>
            </w:r>
            <w:r w:rsidR="002D4FB8" w:rsidRPr="002D4FB8">
              <w:rPr>
                <w:rFonts w:eastAsiaTheme="minorHAnsi"/>
                <w:sz w:val="18"/>
                <w:szCs w:val="18"/>
              </w:rPr>
              <w:t xml:space="preserve">California </w:t>
            </w:r>
            <w:r w:rsidR="006148F7" w:rsidRPr="002D4FB8">
              <w:rPr>
                <w:rFonts w:eastAsiaTheme="minorHAnsi"/>
                <w:sz w:val="18"/>
                <w:szCs w:val="18"/>
              </w:rPr>
              <w:t xml:space="preserve">Statewide </w:t>
            </w:r>
            <w:r w:rsidR="002D4FB8" w:rsidRPr="002D4FB8">
              <w:rPr>
                <w:rFonts w:eastAsiaTheme="minorHAnsi"/>
                <w:sz w:val="18"/>
                <w:szCs w:val="18"/>
              </w:rPr>
              <w:t xml:space="preserve">Express and Upstream Programs </w:t>
            </w:r>
            <w:r w:rsidR="006148F7" w:rsidRPr="002D4FB8">
              <w:rPr>
                <w:rFonts w:eastAsiaTheme="minorHAnsi"/>
                <w:sz w:val="18"/>
                <w:szCs w:val="18"/>
              </w:rPr>
              <w:t>Evaluation</w:t>
            </w:r>
            <w:r w:rsidRPr="0063509F">
              <w:rPr>
                <w:rFonts w:eastAsiaTheme="minorHAnsi"/>
                <w:sz w:val="18"/>
                <w:szCs w:val="18"/>
              </w:rPr>
              <w:t>)</w:t>
            </w:r>
            <w:r w:rsidR="007B5E0F">
              <w:rPr>
                <w:rStyle w:val="FootnoteReference"/>
                <w:rFonts w:eastAsiaTheme="minorHAnsi"/>
              </w:rPr>
              <w:footnoteReference w:id="7"/>
            </w:r>
          </w:p>
        </w:tc>
        <w:tc>
          <w:tcPr>
            <w:tcW w:w="3060" w:type="dxa"/>
            <w:vAlign w:val="center"/>
          </w:tcPr>
          <w:p w:rsidR="003D3FF2" w:rsidRPr="0063509F" w:rsidRDefault="003D3FF2" w:rsidP="0063509F">
            <w:pPr>
              <w:tabs>
                <w:tab w:val="left" w:pos="1170"/>
                <w:tab w:val="left" w:pos="1872"/>
              </w:tabs>
              <w:spacing w:after="0"/>
              <w:rPr>
                <w:b/>
                <w:sz w:val="18"/>
                <w:szCs w:val="18"/>
              </w:rPr>
            </w:pPr>
            <w:r w:rsidRPr="0063509F">
              <w:rPr>
                <w:sz w:val="18"/>
                <w:szCs w:val="18"/>
              </w:rPr>
              <w:tab/>
            </w:r>
            <w:r w:rsidRPr="0063509F">
              <w:rPr>
                <w:b/>
                <w:sz w:val="18"/>
                <w:szCs w:val="18"/>
              </w:rPr>
              <w:t>NTGR</w:t>
            </w:r>
          </w:p>
          <w:p w:rsidR="003D3FF2" w:rsidRPr="0063509F" w:rsidRDefault="003D3FF2" w:rsidP="0063509F">
            <w:pPr>
              <w:tabs>
                <w:tab w:val="left" w:pos="990"/>
                <w:tab w:val="left" w:pos="1530"/>
              </w:tabs>
              <w:spacing w:after="0"/>
              <w:rPr>
                <w:b/>
                <w:sz w:val="18"/>
                <w:szCs w:val="18"/>
              </w:rPr>
            </w:pPr>
            <w:r w:rsidRPr="0063509F">
              <w:rPr>
                <w:b/>
                <w:sz w:val="18"/>
                <w:szCs w:val="18"/>
              </w:rPr>
              <w:tab/>
              <w:t>kWh</w:t>
            </w:r>
            <w:r w:rsidRPr="0063509F">
              <w:rPr>
                <w:b/>
                <w:sz w:val="18"/>
                <w:szCs w:val="18"/>
              </w:rPr>
              <w:tab/>
              <w:t>kW</w:t>
            </w:r>
          </w:p>
          <w:p w:rsidR="003D3FF2" w:rsidRPr="0063509F" w:rsidRDefault="00F75096" w:rsidP="0063509F">
            <w:pPr>
              <w:tabs>
                <w:tab w:val="decimal" w:pos="1080"/>
                <w:tab w:val="decimal" w:pos="1620"/>
                <w:tab w:val="decimal" w:pos="2232"/>
                <w:tab w:val="decimal" w:pos="2592"/>
              </w:tabs>
              <w:spacing w:after="0"/>
              <w:rPr>
                <w:sz w:val="18"/>
                <w:szCs w:val="18"/>
              </w:rPr>
            </w:pPr>
            <w:r>
              <w:rPr>
                <w:sz w:val="18"/>
                <w:szCs w:val="18"/>
              </w:rPr>
              <w:t>PGE2080</w:t>
            </w:r>
            <w:r w:rsidR="003D3FF2" w:rsidRPr="0063509F">
              <w:rPr>
                <w:sz w:val="18"/>
                <w:szCs w:val="18"/>
              </w:rPr>
              <w:tab/>
              <w:t>0.</w:t>
            </w:r>
            <w:r>
              <w:rPr>
                <w:sz w:val="18"/>
                <w:szCs w:val="18"/>
              </w:rPr>
              <w:t>94</w:t>
            </w:r>
            <w:r w:rsidR="003D3FF2" w:rsidRPr="0063509F">
              <w:rPr>
                <w:sz w:val="18"/>
                <w:szCs w:val="18"/>
              </w:rPr>
              <w:tab/>
              <w:t>0.</w:t>
            </w:r>
            <w:r>
              <w:rPr>
                <w:sz w:val="18"/>
                <w:szCs w:val="18"/>
              </w:rPr>
              <w:t>94</w:t>
            </w:r>
          </w:p>
          <w:p w:rsidR="003D3FF2" w:rsidRPr="0063509F" w:rsidRDefault="00F75096" w:rsidP="0063509F">
            <w:pPr>
              <w:tabs>
                <w:tab w:val="decimal" w:pos="1080"/>
                <w:tab w:val="decimal" w:pos="1620"/>
                <w:tab w:val="decimal" w:pos="2232"/>
                <w:tab w:val="decimal" w:pos="2588"/>
              </w:tabs>
              <w:spacing w:after="0"/>
              <w:rPr>
                <w:sz w:val="18"/>
                <w:szCs w:val="18"/>
              </w:rPr>
            </w:pPr>
            <w:r>
              <w:rPr>
                <w:sz w:val="18"/>
                <w:szCs w:val="18"/>
              </w:rPr>
              <w:t>SC</w:t>
            </w:r>
            <w:r w:rsidR="003D3FF2" w:rsidRPr="0063509F">
              <w:rPr>
                <w:sz w:val="18"/>
                <w:szCs w:val="18"/>
              </w:rPr>
              <w:t>E</w:t>
            </w:r>
            <w:r>
              <w:rPr>
                <w:sz w:val="18"/>
                <w:szCs w:val="18"/>
              </w:rPr>
              <w:t>2507</w:t>
            </w:r>
            <w:r w:rsidR="003D3FF2" w:rsidRPr="0063509F">
              <w:rPr>
                <w:sz w:val="18"/>
                <w:szCs w:val="18"/>
              </w:rPr>
              <w:tab/>
              <w:t>0.</w:t>
            </w:r>
            <w:r>
              <w:rPr>
                <w:sz w:val="18"/>
                <w:szCs w:val="18"/>
              </w:rPr>
              <w:t>96</w:t>
            </w:r>
            <w:r w:rsidR="003D3FF2" w:rsidRPr="0063509F">
              <w:rPr>
                <w:sz w:val="18"/>
                <w:szCs w:val="18"/>
              </w:rPr>
              <w:tab/>
              <w:t>0.</w:t>
            </w:r>
            <w:r>
              <w:rPr>
                <w:sz w:val="18"/>
                <w:szCs w:val="18"/>
              </w:rPr>
              <w:t>96</w:t>
            </w:r>
          </w:p>
          <w:p w:rsidR="003D3FF2" w:rsidRPr="0063509F" w:rsidRDefault="00F75096" w:rsidP="0063509F">
            <w:pPr>
              <w:tabs>
                <w:tab w:val="decimal" w:pos="0"/>
                <w:tab w:val="decimal" w:pos="1080"/>
                <w:tab w:val="decimal" w:pos="1620"/>
              </w:tabs>
              <w:spacing w:after="0"/>
              <w:rPr>
                <w:rFonts w:eastAsiaTheme="minorHAnsi"/>
                <w:sz w:val="18"/>
                <w:szCs w:val="18"/>
              </w:rPr>
            </w:pPr>
            <w:r>
              <w:rPr>
                <w:sz w:val="18"/>
                <w:szCs w:val="18"/>
              </w:rPr>
              <w:t>SDGE3029</w:t>
            </w:r>
            <w:r w:rsidR="003D3FF2" w:rsidRPr="0063509F">
              <w:rPr>
                <w:sz w:val="18"/>
                <w:szCs w:val="18"/>
              </w:rPr>
              <w:tab/>
            </w:r>
            <w:r>
              <w:rPr>
                <w:sz w:val="18"/>
                <w:szCs w:val="18"/>
              </w:rPr>
              <w:t>0.94</w:t>
            </w:r>
            <w:r>
              <w:rPr>
                <w:sz w:val="18"/>
                <w:szCs w:val="18"/>
              </w:rPr>
              <w:tab/>
              <w:t>0.94</w:t>
            </w:r>
          </w:p>
          <w:p w:rsidR="00B2276F" w:rsidRPr="0063509F" w:rsidRDefault="00A13A3F" w:rsidP="0038646E">
            <w:pPr>
              <w:tabs>
                <w:tab w:val="decimal" w:pos="0"/>
                <w:tab w:val="decimal" w:pos="900"/>
                <w:tab w:val="decimal" w:pos="1440"/>
              </w:tabs>
              <w:spacing w:after="0"/>
              <w:rPr>
                <w:rFonts w:eastAsiaTheme="minorHAnsi"/>
                <w:sz w:val="18"/>
                <w:szCs w:val="18"/>
              </w:rPr>
            </w:pPr>
            <w:r w:rsidRPr="0063509F">
              <w:rPr>
                <w:rFonts w:eastAsiaTheme="minorHAnsi"/>
                <w:sz w:val="18"/>
                <w:szCs w:val="18"/>
              </w:rPr>
              <w:t xml:space="preserve">(Source: </w:t>
            </w:r>
            <w:r w:rsidR="0038646E" w:rsidRPr="003D3FF2">
              <w:rPr>
                <w:sz w:val="18"/>
                <w:szCs w:val="16"/>
              </w:rPr>
              <w:t>HVAC HIM and Specialized Commercial</w:t>
            </w:r>
            <w:r w:rsidR="0038646E">
              <w:rPr>
                <w:sz w:val="18"/>
                <w:szCs w:val="16"/>
              </w:rPr>
              <w:t>)</w:t>
            </w:r>
            <w:r w:rsidR="0038646E" w:rsidRPr="0038646E">
              <w:rPr>
                <w:sz w:val="18"/>
                <w:szCs w:val="16"/>
                <w:vertAlign w:val="superscript"/>
              </w:rPr>
              <w:t>1</w:t>
            </w:r>
          </w:p>
        </w:tc>
      </w:tr>
    </w:tbl>
    <w:p w:rsidR="0050194C" w:rsidRPr="000B1D6F" w:rsidRDefault="00B253DF" w:rsidP="0050194C">
      <w:pPr>
        <w:pStyle w:val="Heading2"/>
        <w:rPr>
          <w:rFonts w:eastAsiaTheme="minorHAnsi"/>
        </w:rPr>
      </w:pPr>
      <w:r>
        <w:rPr>
          <w:rFonts w:eastAsiaTheme="minorHAnsi"/>
        </w:rPr>
        <w:lastRenderedPageBreak/>
        <w:t>Comparis</w:t>
      </w:r>
      <w:r w:rsidR="00FA455B">
        <w:rPr>
          <w:rFonts w:eastAsiaTheme="minorHAnsi"/>
        </w:rPr>
        <w:t>on of Methods and Sample Sizes</w:t>
      </w:r>
    </w:p>
    <w:p w:rsidR="00F65CB3" w:rsidRDefault="00F65CB3" w:rsidP="00EA6713">
      <w:pPr>
        <w:rPr>
          <w:rFonts w:eastAsiaTheme="minorHAnsi"/>
          <w:i/>
        </w:rPr>
      </w:pPr>
      <w:r>
        <w:rPr>
          <w:rFonts w:eastAsiaTheme="minorHAnsi"/>
        </w:rPr>
        <w:t xml:space="preserve">The RCx Packages NTGR value </w:t>
      </w:r>
      <w:r w:rsidR="00EA6713">
        <w:rPr>
          <w:rFonts w:eastAsiaTheme="minorHAnsi"/>
        </w:rPr>
        <w:t xml:space="preserve">adopted </w:t>
      </w:r>
      <w:r>
        <w:rPr>
          <w:rFonts w:eastAsiaTheme="minorHAnsi"/>
        </w:rPr>
        <w:t xml:space="preserve">in the current DEER database was </w:t>
      </w:r>
      <w:r w:rsidR="00EA6713">
        <w:rPr>
          <w:rFonts w:eastAsiaTheme="minorHAnsi"/>
        </w:rPr>
        <w:t xml:space="preserve">arrived at based on the results </w:t>
      </w:r>
      <w:r>
        <w:rPr>
          <w:rFonts w:eastAsiaTheme="minorHAnsi"/>
        </w:rPr>
        <w:t xml:space="preserve">from two specific EM&amp;V studies: (1) </w:t>
      </w:r>
      <w:r w:rsidRPr="00F65CB3">
        <w:rPr>
          <w:rFonts w:eastAsiaTheme="minorHAnsi"/>
        </w:rPr>
        <w:t xml:space="preserve">the SBW </w:t>
      </w:r>
      <w:r>
        <w:rPr>
          <w:rFonts w:eastAsiaTheme="minorHAnsi"/>
        </w:rPr>
        <w:t>study</w:t>
      </w:r>
      <w:r w:rsidR="001370AC">
        <w:rPr>
          <w:rStyle w:val="FootnoteReference"/>
          <w:rFonts w:eastAsiaTheme="minorHAnsi"/>
        </w:rPr>
        <w:footnoteReference w:id="8"/>
      </w:r>
      <w:r>
        <w:rPr>
          <w:rFonts w:eastAsiaTheme="minorHAnsi"/>
        </w:rPr>
        <w:t xml:space="preserve"> of the 2004 - 20</w:t>
      </w:r>
      <w:r w:rsidRPr="00F65CB3">
        <w:rPr>
          <w:rFonts w:eastAsiaTheme="minorHAnsi"/>
        </w:rPr>
        <w:t xml:space="preserve">05 </w:t>
      </w:r>
      <w:r>
        <w:rPr>
          <w:rFonts w:eastAsiaTheme="minorHAnsi"/>
        </w:rPr>
        <w:t xml:space="preserve">QuEST </w:t>
      </w:r>
      <w:r w:rsidRPr="00F65CB3">
        <w:rPr>
          <w:rFonts w:eastAsiaTheme="minorHAnsi"/>
        </w:rPr>
        <w:t>Building Tune-Up Program</w:t>
      </w:r>
      <w:r>
        <w:rPr>
          <w:rFonts w:eastAsiaTheme="minorHAnsi"/>
        </w:rPr>
        <w:t>, and (2) the Itron study</w:t>
      </w:r>
      <w:r w:rsidR="001370AC">
        <w:rPr>
          <w:rStyle w:val="FootnoteReference"/>
          <w:rFonts w:eastAsiaTheme="minorHAnsi"/>
        </w:rPr>
        <w:footnoteReference w:id="9"/>
      </w:r>
      <w:r>
        <w:rPr>
          <w:rFonts w:eastAsiaTheme="minorHAnsi"/>
        </w:rPr>
        <w:t xml:space="preserve"> of the PECI 2004 – 2005 SDG&amp;E Retro-commissioning Program</w:t>
      </w:r>
      <w:r w:rsidR="00EA6713">
        <w:rPr>
          <w:rFonts w:eastAsiaTheme="minorHAnsi"/>
        </w:rPr>
        <w:t xml:space="preserve">.  The SBW study used a Self Report method and a customer survey to estimate the level of free-ridership.  The estimates were based on the analysis of 17 customer projects, and arrived at NTGR estimates of 0.87 for electric projects and 1.0 for natural gas projects.  The Itron study </w:t>
      </w:r>
      <w:r w:rsidR="00BC48D5">
        <w:rPr>
          <w:rFonts w:eastAsiaTheme="minorHAnsi"/>
        </w:rPr>
        <w:t>used</w:t>
      </w:r>
      <w:r w:rsidR="00351514">
        <w:rPr>
          <w:rFonts w:eastAsiaTheme="minorHAnsi"/>
        </w:rPr>
        <w:t xml:space="preserve"> a </w:t>
      </w:r>
      <w:r w:rsidR="00C30360">
        <w:rPr>
          <w:rFonts w:eastAsiaTheme="minorHAnsi"/>
        </w:rPr>
        <w:t xml:space="preserve">Self Report </w:t>
      </w:r>
      <w:r w:rsidR="00BC48D5">
        <w:rPr>
          <w:rFonts w:eastAsiaTheme="minorHAnsi"/>
        </w:rPr>
        <w:t>method</w:t>
      </w:r>
      <w:r w:rsidR="00537D1A">
        <w:rPr>
          <w:rFonts w:eastAsiaTheme="minorHAnsi"/>
        </w:rPr>
        <w:t>,</w:t>
      </w:r>
      <w:r w:rsidR="00BC48D5">
        <w:rPr>
          <w:rFonts w:eastAsiaTheme="minorHAnsi"/>
        </w:rPr>
        <w:t xml:space="preserve"> and used </w:t>
      </w:r>
      <w:r w:rsidR="00C30360">
        <w:rPr>
          <w:rFonts w:eastAsiaTheme="minorHAnsi"/>
        </w:rPr>
        <w:t>the responses f</w:t>
      </w:r>
      <w:r w:rsidR="00537D1A">
        <w:rPr>
          <w:rFonts w:eastAsiaTheme="minorHAnsi"/>
        </w:rPr>
        <w:t>rom</w:t>
      </w:r>
      <w:r w:rsidR="00C30360">
        <w:rPr>
          <w:rFonts w:eastAsiaTheme="minorHAnsi"/>
        </w:rPr>
        <w:t xml:space="preserve"> </w:t>
      </w:r>
      <w:r w:rsidR="00351514">
        <w:rPr>
          <w:rFonts w:eastAsiaTheme="minorHAnsi"/>
        </w:rPr>
        <w:t xml:space="preserve">only </w:t>
      </w:r>
      <w:r w:rsidR="00C30360">
        <w:rPr>
          <w:rFonts w:eastAsiaTheme="minorHAnsi"/>
        </w:rPr>
        <w:t>three participa</w:t>
      </w:r>
      <w:r w:rsidR="00351514">
        <w:rPr>
          <w:rFonts w:eastAsiaTheme="minorHAnsi"/>
        </w:rPr>
        <w:t>n</w:t>
      </w:r>
      <w:r w:rsidR="00C30360">
        <w:rPr>
          <w:rFonts w:eastAsiaTheme="minorHAnsi"/>
        </w:rPr>
        <w:t>t</w:t>
      </w:r>
      <w:r w:rsidR="00351514">
        <w:rPr>
          <w:rFonts w:eastAsiaTheme="minorHAnsi"/>
        </w:rPr>
        <w:t>s</w:t>
      </w:r>
      <w:r w:rsidR="00C30360">
        <w:rPr>
          <w:rFonts w:eastAsiaTheme="minorHAnsi"/>
        </w:rPr>
        <w:t xml:space="preserve"> </w:t>
      </w:r>
      <w:r w:rsidR="00BC48D5">
        <w:rPr>
          <w:rFonts w:eastAsiaTheme="minorHAnsi"/>
        </w:rPr>
        <w:t xml:space="preserve">to </w:t>
      </w:r>
      <w:r w:rsidR="00351514">
        <w:rPr>
          <w:rFonts w:eastAsiaTheme="minorHAnsi"/>
        </w:rPr>
        <w:t xml:space="preserve">derive </w:t>
      </w:r>
      <w:r w:rsidR="00C30360">
        <w:rPr>
          <w:rFonts w:eastAsiaTheme="minorHAnsi"/>
        </w:rPr>
        <w:t>an NTGR value of 1.0.</w:t>
      </w:r>
      <w:r w:rsidR="00B02E9C">
        <w:rPr>
          <w:rFonts w:eastAsiaTheme="minorHAnsi"/>
        </w:rPr>
        <w:t xml:space="preserve">  </w:t>
      </w:r>
      <w:r w:rsidR="006E657C">
        <w:rPr>
          <w:rFonts w:eastAsiaTheme="minorHAnsi"/>
        </w:rPr>
        <w:t>In past</w:t>
      </w:r>
      <w:r w:rsidR="006C1F61">
        <w:rPr>
          <w:rFonts w:eastAsiaTheme="minorHAnsi"/>
        </w:rPr>
        <w:t xml:space="preserve"> discussions</w:t>
      </w:r>
      <w:r w:rsidR="006E657C">
        <w:rPr>
          <w:rFonts w:eastAsiaTheme="minorHAnsi"/>
        </w:rPr>
        <w:t>, Itron has stated that t</w:t>
      </w:r>
      <w:r w:rsidR="00B02E9C">
        <w:rPr>
          <w:rFonts w:eastAsiaTheme="minorHAnsi"/>
        </w:rPr>
        <w:t>he study</w:t>
      </w:r>
      <w:r w:rsidR="00351514">
        <w:rPr>
          <w:rFonts w:eastAsiaTheme="minorHAnsi"/>
        </w:rPr>
        <w:t>’s</w:t>
      </w:r>
      <w:r w:rsidR="00B02E9C">
        <w:rPr>
          <w:rFonts w:eastAsiaTheme="minorHAnsi"/>
        </w:rPr>
        <w:t xml:space="preserve"> </w:t>
      </w:r>
      <w:r w:rsidR="00351514">
        <w:rPr>
          <w:rFonts w:eastAsiaTheme="minorHAnsi"/>
        </w:rPr>
        <w:t xml:space="preserve">under-funding, </w:t>
      </w:r>
      <w:r w:rsidR="00537D1A">
        <w:rPr>
          <w:rFonts w:eastAsiaTheme="minorHAnsi"/>
        </w:rPr>
        <w:t xml:space="preserve">small </w:t>
      </w:r>
      <w:r w:rsidR="00351514">
        <w:rPr>
          <w:rFonts w:eastAsiaTheme="minorHAnsi"/>
        </w:rPr>
        <w:t>sample size,</w:t>
      </w:r>
      <w:r w:rsidR="00537D1A">
        <w:rPr>
          <w:rFonts w:eastAsiaTheme="minorHAnsi"/>
        </w:rPr>
        <w:t xml:space="preserve"> and</w:t>
      </w:r>
      <w:r w:rsidR="00351514">
        <w:rPr>
          <w:rFonts w:eastAsiaTheme="minorHAnsi"/>
        </w:rPr>
        <w:t xml:space="preserve"> </w:t>
      </w:r>
      <w:r w:rsidR="00B02E9C">
        <w:rPr>
          <w:rFonts w:eastAsiaTheme="minorHAnsi"/>
        </w:rPr>
        <w:t>methods</w:t>
      </w:r>
      <w:r w:rsidR="00351514">
        <w:rPr>
          <w:rFonts w:eastAsiaTheme="minorHAnsi"/>
        </w:rPr>
        <w:t xml:space="preserve"> render </w:t>
      </w:r>
      <w:r w:rsidR="00537D1A">
        <w:rPr>
          <w:rFonts w:eastAsiaTheme="minorHAnsi"/>
        </w:rPr>
        <w:t>the</w:t>
      </w:r>
      <w:r w:rsidR="00351514">
        <w:rPr>
          <w:rFonts w:eastAsiaTheme="minorHAnsi"/>
        </w:rPr>
        <w:t xml:space="preserve"> </w:t>
      </w:r>
      <w:r w:rsidR="00537D1A">
        <w:rPr>
          <w:rFonts w:eastAsiaTheme="minorHAnsi"/>
        </w:rPr>
        <w:t xml:space="preserve">NTGR </w:t>
      </w:r>
      <w:r w:rsidR="00351514">
        <w:rPr>
          <w:rFonts w:eastAsiaTheme="minorHAnsi"/>
        </w:rPr>
        <w:t xml:space="preserve">result inadequate for </w:t>
      </w:r>
      <w:r w:rsidR="006E657C">
        <w:rPr>
          <w:rFonts w:eastAsiaTheme="minorHAnsi"/>
        </w:rPr>
        <w:t xml:space="preserve">use </w:t>
      </w:r>
      <w:r w:rsidR="00351514">
        <w:rPr>
          <w:rFonts w:eastAsiaTheme="minorHAnsi"/>
        </w:rPr>
        <w:t xml:space="preserve">in </w:t>
      </w:r>
      <w:r w:rsidR="006E657C">
        <w:rPr>
          <w:rFonts w:eastAsiaTheme="minorHAnsi"/>
        </w:rPr>
        <w:t xml:space="preserve">either the DEER or </w:t>
      </w:r>
      <w:r w:rsidR="00351514">
        <w:rPr>
          <w:rFonts w:eastAsiaTheme="minorHAnsi"/>
        </w:rPr>
        <w:t xml:space="preserve">any </w:t>
      </w:r>
      <w:r w:rsidR="006E657C">
        <w:rPr>
          <w:rFonts w:eastAsiaTheme="minorHAnsi"/>
        </w:rPr>
        <w:t>other regulatory</w:t>
      </w:r>
      <w:r w:rsidR="00351514">
        <w:rPr>
          <w:rFonts w:eastAsiaTheme="minorHAnsi"/>
        </w:rPr>
        <w:t xml:space="preserve"> application</w:t>
      </w:r>
      <w:r w:rsidR="006E657C">
        <w:rPr>
          <w:rFonts w:eastAsiaTheme="minorHAnsi"/>
        </w:rPr>
        <w:t>.</w:t>
      </w:r>
    </w:p>
    <w:p w:rsidR="00C30360" w:rsidRDefault="00C30360" w:rsidP="00536C88">
      <w:pPr>
        <w:widowControl w:val="0"/>
        <w:rPr>
          <w:rFonts w:eastAsiaTheme="minorHAnsi"/>
        </w:rPr>
      </w:pPr>
      <w:r>
        <w:rPr>
          <w:rFonts w:eastAsiaTheme="minorHAnsi"/>
        </w:rPr>
        <w:t xml:space="preserve">The 2008 DEER does not provide an explicit NTGR value for </w:t>
      </w:r>
      <w:r w:rsidR="005529D5">
        <w:rPr>
          <w:rFonts w:eastAsiaTheme="minorHAnsi"/>
        </w:rPr>
        <w:t xml:space="preserve">the </w:t>
      </w:r>
      <w:r>
        <w:rPr>
          <w:rFonts w:eastAsiaTheme="minorHAnsi"/>
        </w:rPr>
        <w:t xml:space="preserve">Chiller Replacements EEM </w:t>
      </w:r>
      <w:r w:rsidR="005529D5">
        <w:rPr>
          <w:rFonts w:eastAsiaTheme="minorHAnsi"/>
        </w:rPr>
        <w:t>C</w:t>
      </w:r>
      <w:r>
        <w:rPr>
          <w:rFonts w:eastAsiaTheme="minorHAnsi"/>
        </w:rPr>
        <w:t xml:space="preserve">ategory.  </w:t>
      </w:r>
      <w:r w:rsidR="00791652">
        <w:rPr>
          <w:rFonts w:eastAsiaTheme="minorHAnsi"/>
        </w:rPr>
        <w:t>Since all IOU chiller replacement projects appear as part of the Customized Incentives programs, t</w:t>
      </w:r>
      <w:r>
        <w:rPr>
          <w:rFonts w:eastAsiaTheme="minorHAnsi"/>
        </w:rPr>
        <w:t xml:space="preserve">he </w:t>
      </w:r>
      <w:r w:rsidR="00791652">
        <w:rPr>
          <w:rFonts w:eastAsiaTheme="minorHAnsi"/>
        </w:rPr>
        <w:t xml:space="preserve">only </w:t>
      </w:r>
      <w:r>
        <w:rPr>
          <w:rFonts w:eastAsiaTheme="minorHAnsi"/>
        </w:rPr>
        <w:t xml:space="preserve">applicable NTGR that the EEM may fall under would be the </w:t>
      </w:r>
      <w:r w:rsidR="00791652">
        <w:rPr>
          <w:rFonts w:eastAsiaTheme="minorHAnsi"/>
        </w:rPr>
        <w:t xml:space="preserve">general </w:t>
      </w:r>
      <w:r>
        <w:rPr>
          <w:rFonts w:eastAsiaTheme="minorHAnsi"/>
        </w:rPr>
        <w:t>“</w:t>
      </w:r>
      <w:r w:rsidR="00791652">
        <w:rPr>
          <w:rFonts w:eastAsiaTheme="minorHAnsi"/>
        </w:rPr>
        <w:t xml:space="preserve">All HVAC” </w:t>
      </w:r>
      <w:r w:rsidR="005529D5">
        <w:rPr>
          <w:rFonts w:eastAsiaTheme="minorHAnsi"/>
        </w:rPr>
        <w:t>grouping</w:t>
      </w:r>
      <w:r w:rsidR="00791652">
        <w:rPr>
          <w:rFonts w:eastAsiaTheme="minorHAnsi"/>
        </w:rPr>
        <w:t xml:space="preserve"> for Large Non-</w:t>
      </w:r>
      <w:r w:rsidR="00AF642D">
        <w:rPr>
          <w:rFonts w:eastAsiaTheme="minorHAnsi"/>
        </w:rPr>
        <w:t>R</w:t>
      </w:r>
      <w:r w:rsidR="00791652">
        <w:rPr>
          <w:rFonts w:eastAsiaTheme="minorHAnsi"/>
        </w:rPr>
        <w:t xml:space="preserve">esidential Customized Incentives.  This </w:t>
      </w:r>
      <w:r w:rsidR="004564B9">
        <w:rPr>
          <w:rFonts w:eastAsiaTheme="minorHAnsi"/>
        </w:rPr>
        <w:t xml:space="preserve">measure </w:t>
      </w:r>
      <w:r w:rsidR="00791652">
        <w:rPr>
          <w:rFonts w:eastAsiaTheme="minorHAnsi"/>
        </w:rPr>
        <w:t xml:space="preserve">category </w:t>
      </w:r>
      <w:r w:rsidR="004564B9">
        <w:rPr>
          <w:rFonts w:eastAsiaTheme="minorHAnsi"/>
        </w:rPr>
        <w:t>uses</w:t>
      </w:r>
      <w:r w:rsidR="00791652">
        <w:rPr>
          <w:rFonts w:eastAsiaTheme="minorHAnsi"/>
        </w:rPr>
        <w:t xml:space="preserve"> the same NTGR value </w:t>
      </w:r>
      <w:r w:rsidR="004564B9">
        <w:rPr>
          <w:rFonts w:eastAsiaTheme="minorHAnsi"/>
        </w:rPr>
        <w:t xml:space="preserve">that was </w:t>
      </w:r>
      <w:r w:rsidR="00791652">
        <w:rPr>
          <w:rFonts w:eastAsiaTheme="minorHAnsi"/>
        </w:rPr>
        <w:t xml:space="preserve">derived for </w:t>
      </w:r>
      <w:r w:rsidR="005529D5">
        <w:rPr>
          <w:rFonts w:eastAsiaTheme="minorHAnsi"/>
        </w:rPr>
        <w:t xml:space="preserve">the </w:t>
      </w:r>
      <w:r w:rsidR="004564B9">
        <w:rPr>
          <w:rFonts w:eastAsiaTheme="minorHAnsi"/>
        </w:rPr>
        <w:t xml:space="preserve">custom </w:t>
      </w:r>
      <w:r w:rsidR="00791652">
        <w:rPr>
          <w:rFonts w:eastAsiaTheme="minorHAnsi"/>
        </w:rPr>
        <w:t>electric</w:t>
      </w:r>
      <w:r w:rsidR="004564B9">
        <w:rPr>
          <w:rFonts w:eastAsiaTheme="minorHAnsi"/>
        </w:rPr>
        <w:t xml:space="preserve"> measures in the Itron evaluation of </w:t>
      </w:r>
      <w:r w:rsidR="00791652">
        <w:rPr>
          <w:rFonts w:eastAsiaTheme="minorHAnsi"/>
        </w:rPr>
        <w:t xml:space="preserve">the </w:t>
      </w:r>
      <w:r w:rsidR="004564B9">
        <w:rPr>
          <w:rFonts w:eastAsiaTheme="minorHAnsi"/>
        </w:rPr>
        <w:t xml:space="preserve">2004 – 2005 </w:t>
      </w:r>
      <w:r w:rsidRPr="00791652">
        <w:rPr>
          <w:rFonts w:eastAsiaTheme="minorHAnsi"/>
        </w:rPr>
        <w:t>S</w:t>
      </w:r>
      <w:r w:rsidR="00791652">
        <w:rPr>
          <w:rFonts w:eastAsiaTheme="minorHAnsi"/>
        </w:rPr>
        <w:t xml:space="preserve">tandard </w:t>
      </w:r>
      <w:r w:rsidRPr="00791652">
        <w:rPr>
          <w:rFonts w:eastAsiaTheme="minorHAnsi"/>
        </w:rPr>
        <w:t>P</w:t>
      </w:r>
      <w:r w:rsidR="00791652">
        <w:rPr>
          <w:rFonts w:eastAsiaTheme="minorHAnsi"/>
        </w:rPr>
        <w:t xml:space="preserve">erformance </w:t>
      </w:r>
      <w:r w:rsidRPr="00791652">
        <w:rPr>
          <w:rFonts w:eastAsiaTheme="minorHAnsi"/>
        </w:rPr>
        <w:t>C</w:t>
      </w:r>
      <w:r w:rsidR="00791652">
        <w:rPr>
          <w:rFonts w:eastAsiaTheme="minorHAnsi"/>
        </w:rPr>
        <w:t xml:space="preserve">ontract </w:t>
      </w:r>
      <w:r w:rsidR="00AF642D">
        <w:rPr>
          <w:rFonts w:eastAsiaTheme="minorHAnsi"/>
        </w:rPr>
        <w:t>P</w:t>
      </w:r>
      <w:r w:rsidR="00791652">
        <w:rPr>
          <w:rFonts w:eastAsiaTheme="minorHAnsi"/>
        </w:rPr>
        <w:t xml:space="preserve">rogram. </w:t>
      </w:r>
      <w:r w:rsidR="00664CF0">
        <w:rPr>
          <w:rFonts w:eastAsiaTheme="minorHAnsi"/>
        </w:rPr>
        <w:t xml:space="preserve"> </w:t>
      </w:r>
      <w:r w:rsidR="00791652">
        <w:rPr>
          <w:rFonts w:eastAsiaTheme="minorHAnsi"/>
        </w:rPr>
        <w:t xml:space="preserve">The study used a Self Report customer survey methodology with </w:t>
      </w:r>
      <w:r w:rsidRPr="00791652">
        <w:rPr>
          <w:rFonts w:eastAsiaTheme="minorHAnsi"/>
        </w:rPr>
        <w:t>113 participants</w:t>
      </w:r>
      <w:r w:rsidR="005529D5">
        <w:rPr>
          <w:rFonts w:eastAsiaTheme="minorHAnsi"/>
        </w:rPr>
        <w:t xml:space="preserve"> and </w:t>
      </w:r>
      <w:r w:rsidRPr="00791652">
        <w:rPr>
          <w:rFonts w:eastAsiaTheme="minorHAnsi"/>
        </w:rPr>
        <w:t xml:space="preserve">derived </w:t>
      </w:r>
      <w:r w:rsidR="005529D5">
        <w:rPr>
          <w:rFonts w:eastAsiaTheme="minorHAnsi"/>
        </w:rPr>
        <w:t xml:space="preserve">a </w:t>
      </w:r>
      <w:r w:rsidRPr="00791652">
        <w:rPr>
          <w:rFonts w:eastAsiaTheme="minorHAnsi"/>
        </w:rPr>
        <w:t xml:space="preserve">0.54 </w:t>
      </w:r>
      <w:r w:rsidR="005529D5">
        <w:rPr>
          <w:rFonts w:eastAsiaTheme="minorHAnsi"/>
        </w:rPr>
        <w:t xml:space="preserve">NTGR value for all Customized Incentive projects.  The </w:t>
      </w:r>
      <w:r w:rsidR="005B3E96">
        <w:rPr>
          <w:rFonts w:eastAsiaTheme="minorHAnsi"/>
        </w:rPr>
        <w:t xml:space="preserve">0.64 </w:t>
      </w:r>
      <w:r w:rsidR="00AF642D">
        <w:rPr>
          <w:rFonts w:eastAsiaTheme="minorHAnsi"/>
        </w:rPr>
        <w:t>NTGR value adopted in the 2008 DEER result</w:t>
      </w:r>
      <w:r w:rsidR="005B3E96">
        <w:rPr>
          <w:rFonts w:eastAsiaTheme="minorHAnsi"/>
        </w:rPr>
        <w:t>ed</w:t>
      </w:r>
      <w:r w:rsidR="00AF642D">
        <w:rPr>
          <w:rFonts w:eastAsiaTheme="minorHAnsi"/>
        </w:rPr>
        <w:t xml:space="preserve"> from the CPUC’s decision to </w:t>
      </w:r>
      <w:r w:rsidRPr="00791652">
        <w:rPr>
          <w:rFonts w:eastAsiaTheme="minorHAnsi"/>
        </w:rPr>
        <w:t xml:space="preserve">include </w:t>
      </w:r>
      <w:r w:rsidR="00AF642D">
        <w:rPr>
          <w:rFonts w:eastAsiaTheme="minorHAnsi"/>
        </w:rPr>
        <w:t xml:space="preserve">a </w:t>
      </w:r>
      <w:r w:rsidRPr="00791652">
        <w:rPr>
          <w:rFonts w:eastAsiaTheme="minorHAnsi"/>
        </w:rPr>
        <w:t xml:space="preserve">self-report bias </w:t>
      </w:r>
      <w:r w:rsidR="005B3E96">
        <w:rPr>
          <w:rFonts w:eastAsiaTheme="minorHAnsi"/>
        </w:rPr>
        <w:t>adder</w:t>
      </w:r>
      <w:r w:rsidRPr="00791652">
        <w:rPr>
          <w:rFonts w:eastAsiaTheme="minorHAnsi"/>
        </w:rPr>
        <w:t xml:space="preserve"> (+0.10) </w:t>
      </w:r>
      <w:r w:rsidR="00AF642D">
        <w:rPr>
          <w:rFonts w:eastAsiaTheme="minorHAnsi"/>
        </w:rPr>
        <w:t>from</w:t>
      </w:r>
      <w:r w:rsidRPr="00791652">
        <w:rPr>
          <w:rFonts w:eastAsiaTheme="minorHAnsi"/>
        </w:rPr>
        <w:t xml:space="preserve"> </w:t>
      </w:r>
      <w:r w:rsidR="005B3E96">
        <w:rPr>
          <w:rFonts w:eastAsiaTheme="minorHAnsi"/>
        </w:rPr>
        <w:t xml:space="preserve">a 2001 </w:t>
      </w:r>
      <w:r w:rsidR="00EC399E">
        <w:rPr>
          <w:rFonts w:eastAsiaTheme="minorHAnsi"/>
        </w:rPr>
        <w:t>study</w:t>
      </w:r>
      <w:r w:rsidRPr="00791652">
        <w:rPr>
          <w:rFonts w:eastAsiaTheme="minorHAnsi"/>
        </w:rPr>
        <w:t>.</w:t>
      </w:r>
      <w:r w:rsidR="005529D5">
        <w:rPr>
          <w:rStyle w:val="FootnoteReference"/>
          <w:rFonts w:eastAsiaTheme="minorHAnsi"/>
        </w:rPr>
        <w:footnoteReference w:id="10"/>
      </w:r>
      <w:r w:rsidRPr="005529D5">
        <w:rPr>
          <w:rFonts w:eastAsiaTheme="minorHAnsi"/>
        </w:rPr>
        <w:t xml:space="preserve">  </w:t>
      </w:r>
      <w:r w:rsidR="005B3E96">
        <w:rPr>
          <w:rFonts w:eastAsiaTheme="minorHAnsi"/>
        </w:rPr>
        <w:t xml:space="preserve">The 2008 DEER team advised against continuing the practice since the basis </w:t>
      </w:r>
      <w:r w:rsidR="00EC399E">
        <w:rPr>
          <w:rFonts w:eastAsiaTheme="minorHAnsi"/>
        </w:rPr>
        <w:t xml:space="preserve">and need </w:t>
      </w:r>
      <w:r w:rsidR="005B3E96">
        <w:rPr>
          <w:rFonts w:eastAsiaTheme="minorHAnsi"/>
        </w:rPr>
        <w:t>for the adder had diminished</w:t>
      </w:r>
      <w:r w:rsidR="00EC399E">
        <w:rPr>
          <w:rFonts w:eastAsiaTheme="minorHAnsi"/>
        </w:rPr>
        <w:t xml:space="preserve"> since its inception.</w:t>
      </w:r>
      <w:r w:rsidR="005B3E96">
        <w:rPr>
          <w:rFonts w:eastAsiaTheme="minorHAnsi"/>
        </w:rPr>
        <w:t xml:space="preserve"> </w:t>
      </w:r>
      <w:r w:rsidR="00EC399E">
        <w:rPr>
          <w:rFonts w:eastAsiaTheme="minorHAnsi"/>
        </w:rPr>
        <w:t xml:space="preserve"> Nonetheless, the decision was made to include it </w:t>
      </w:r>
      <w:r w:rsidR="00E33F27">
        <w:rPr>
          <w:rFonts w:eastAsiaTheme="minorHAnsi"/>
        </w:rPr>
        <w:t xml:space="preserve">in </w:t>
      </w:r>
      <w:r w:rsidR="00EC399E">
        <w:rPr>
          <w:rFonts w:eastAsiaTheme="minorHAnsi"/>
        </w:rPr>
        <w:t xml:space="preserve">the 2008 DEER and to revisit the adder’s basis during the following DEER update.  A further review and discussion may be found in the Custom NTGR section for the Industrial </w:t>
      </w:r>
      <w:r w:rsidR="00B8205D">
        <w:rPr>
          <w:rFonts w:eastAsiaTheme="minorHAnsi"/>
        </w:rPr>
        <w:t>EEM</w:t>
      </w:r>
      <w:r w:rsidR="00EC399E">
        <w:rPr>
          <w:rFonts w:eastAsiaTheme="minorHAnsi"/>
        </w:rPr>
        <w:t xml:space="preserve"> updates.  </w:t>
      </w:r>
      <w:r w:rsidR="00143D3E">
        <w:rPr>
          <w:rFonts w:eastAsiaTheme="minorHAnsi"/>
        </w:rPr>
        <w:t xml:space="preserve">  </w:t>
      </w:r>
    </w:p>
    <w:p w:rsidR="0007387C" w:rsidRDefault="00143D3E" w:rsidP="00536C88">
      <w:r>
        <w:rPr>
          <w:rFonts w:eastAsiaTheme="minorHAnsi"/>
        </w:rPr>
        <w:t xml:space="preserve">For Packaged and Split System Air Conditioners and Heat Pumps, </w:t>
      </w:r>
      <w:r w:rsidR="00B8239F">
        <w:rPr>
          <w:rFonts w:eastAsiaTheme="minorHAnsi"/>
        </w:rPr>
        <w:t xml:space="preserve">upstream delivery, </w:t>
      </w:r>
      <w:r>
        <w:rPr>
          <w:rFonts w:eastAsiaTheme="minorHAnsi"/>
        </w:rPr>
        <w:t xml:space="preserve">the </w:t>
      </w:r>
      <w:r w:rsidR="00B8239F">
        <w:rPr>
          <w:rFonts w:eastAsiaTheme="minorHAnsi"/>
        </w:rPr>
        <w:t xml:space="preserve">2008 </w:t>
      </w:r>
      <w:r>
        <w:rPr>
          <w:rFonts w:eastAsiaTheme="minorHAnsi"/>
        </w:rPr>
        <w:t>DEER</w:t>
      </w:r>
      <w:r w:rsidR="00B8239F">
        <w:rPr>
          <w:rFonts w:eastAsiaTheme="minorHAnsi"/>
        </w:rPr>
        <w:t xml:space="preserve"> does not list a specific NTGR value to cover the entire category at this time and limits its entry to Packaged Air Conditioners within the capacity range of 65-135 kBTU/hour.  The NTGR </w:t>
      </w:r>
      <w:r w:rsidR="00B8239F">
        <w:rPr>
          <w:rFonts w:eastAsiaTheme="minorHAnsi"/>
        </w:rPr>
        <w:lastRenderedPageBreak/>
        <w:t>estimate originates from the Itron evaluation study</w:t>
      </w:r>
      <w:r w:rsidR="001370AC">
        <w:rPr>
          <w:rStyle w:val="FootnoteReference"/>
          <w:rFonts w:eastAsiaTheme="minorHAnsi"/>
        </w:rPr>
        <w:footnoteReference w:id="11"/>
      </w:r>
      <w:r w:rsidR="00B8239F">
        <w:rPr>
          <w:rFonts w:eastAsiaTheme="minorHAnsi"/>
        </w:rPr>
        <w:t xml:space="preserve"> of the 2004 – 2005 </w:t>
      </w:r>
      <w:r w:rsidR="002D4FB8">
        <w:rPr>
          <w:rFonts w:eastAsiaTheme="minorHAnsi"/>
        </w:rPr>
        <w:t xml:space="preserve">Upstream HVAC </w:t>
      </w:r>
      <w:r w:rsidR="00B8239F">
        <w:rPr>
          <w:rFonts w:eastAsiaTheme="minorHAnsi"/>
        </w:rPr>
        <w:t xml:space="preserve">programs.  </w:t>
      </w:r>
      <w:r w:rsidR="00625E61">
        <w:rPr>
          <w:rFonts w:eastAsiaTheme="minorHAnsi"/>
        </w:rPr>
        <w:t xml:space="preserve">The </w:t>
      </w:r>
      <w:r w:rsidR="00E63F82">
        <w:rPr>
          <w:rFonts w:eastAsiaTheme="minorHAnsi"/>
        </w:rPr>
        <w:t xml:space="preserve">study </w:t>
      </w:r>
      <w:r w:rsidR="00C23A4B">
        <w:rPr>
          <w:rFonts w:eastAsiaTheme="minorHAnsi"/>
        </w:rPr>
        <w:t>produced a Self Report free-ridership set of estimates</w:t>
      </w:r>
      <w:r w:rsidR="00C23A4B" w:rsidRPr="00C23A4B">
        <w:rPr>
          <w:rFonts w:eastAsiaTheme="minorHAnsi"/>
        </w:rPr>
        <w:t xml:space="preserve"> </w:t>
      </w:r>
      <w:r w:rsidR="00C23A4B">
        <w:rPr>
          <w:rFonts w:eastAsiaTheme="minorHAnsi"/>
        </w:rPr>
        <w:t xml:space="preserve">based on telephone interviews with 19 distributors, </w:t>
      </w:r>
      <w:r w:rsidR="00F431FE">
        <w:rPr>
          <w:rFonts w:eastAsiaTheme="minorHAnsi"/>
        </w:rPr>
        <w:t xml:space="preserve">and </w:t>
      </w:r>
      <w:r w:rsidR="002D4FB8">
        <w:rPr>
          <w:rFonts w:eastAsiaTheme="minorHAnsi"/>
        </w:rPr>
        <w:t xml:space="preserve">a </w:t>
      </w:r>
      <w:r w:rsidR="00F431FE">
        <w:rPr>
          <w:rFonts w:eastAsiaTheme="minorHAnsi"/>
        </w:rPr>
        <w:t xml:space="preserve">set of estimates using </w:t>
      </w:r>
      <w:r w:rsidR="002D4FB8">
        <w:rPr>
          <w:rFonts w:eastAsiaTheme="minorHAnsi"/>
        </w:rPr>
        <w:t xml:space="preserve">Discrete Choice </w:t>
      </w:r>
      <w:r w:rsidR="00E63F82">
        <w:rPr>
          <w:rFonts w:eastAsiaTheme="minorHAnsi"/>
        </w:rPr>
        <w:t>method</w:t>
      </w:r>
      <w:r w:rsidR="002D4FB8">
        <w:rPr>
          <w:rFonts w:eastAsiaTheme="minorHAnsi"/>
        </w:rPr>
        <w:t>ology</w:t>
      </w:r>
      <w:r w:rsidR="00E63F82">
        <w:rPr>
          <w:rFonts w:eastAsiaTheme="minorHAnsi"/>
        </w:rPr>
        <w:t xml:space="preserve"> </w:t>
      </w:r>
      <w:r w:rsidR="00E43CF0">
        <w:rPr>
          <w:rFonts w:eastAsiaTheme="minorHAnsi"/>
        </w:rPr>
        <w:t>based on a total sample size of 2,460 participants and non-participants</w:t>
      </w:r>
      <w:r w:rsidR="001D31E5">
        <w:rPr>
          <w:rFonts w:eastAsiaTheme="minorHAnsi"/>
        </w:rPr>
        <w:t xml:space="preserve">.  The 19 distributors </w:t>
      </w:r>
      <w:r w:rsidR="00E43CF0">
        <w:rPr>
          <w:rFonts w:eastAsiaTheme="minorHAnsi"/>
        </w:rPr>
        <w:t xml:space="preserve">interviewed for the self-reported estimates </w:t>
      </w:r>
      <w:r w:rsidR="001D31E5">
        <w:rPr>
          <w:rFonts w:eastAsiaTheme="minorHAnsi"/>
        </w:rPr>
        <w:t xml:space="preserve">accounted for about 77% of the total cooling tonnage rebated through the upstream program during </w:t>
      </w:r>
      <w:r w:rsidR="00C23A4B">
        <w:rPr>
          <w:rFonts w:eastAsiaTheme="minorHAnsi"/>
        </w:rPr>
        <w:t xml:space="preserve">the </w:t>
      </w:r>
      <w:r w:rsidR="001D31E5">
        <w:rPr>
          <w:rFonts w:eastAsiaTheme="minorHAnsi"/>
        </w:rPr>
        <w:t>2004 through 2005 timeframe</w:t>
      </w:r>
      <w:r w:rsidR="0007387C">
        <w:rPr>
          <w:rFonts w:eastAsiaTheme="minorHAnsi"/>
        </w:rPr>
        <w:t>.</w:t>
      </w:r>
    </w:p>
    <w:p w:rsidR="00143D3E" w:rsidRDefault="0051453E" w:rsidP="00513E82">
      <w:pPr>
        <w:rPr>
          <w:rFonts w:eastAsiaTheme="minorHAnsi"/>
        </w:rPr>
      </w:pPr>
      <w:r>
        <w:fldChar w:fldCharType="begin"/>
      </w:r>
      <w:r w:rsidR="00B70D42">
        <w:rPr>
          <w:rFonts w:eastAsiaTheme="minorHAnsi"/>
        </w:rPr>
        <w:instrText xml:space="preserve"> REF _Ref307570433 </w:instrText>
      </w:r>
      <w:r>
        <w:fldChar w:fldCharType="separate"/>
      </w:r>
      <w:r w:rsidR="005372DA">
        <w:t xml:space="preserve">Table </w:t>
      </w:r>
      <w:r w:rsidR="005372DA">
        <w:rPr>
          <w:noProof/>
        </w:rPr>
        <w:t>10</w:t>
      </w:r>
      <w:r w:rsidR="005372DA">
        <w:noBreakHyphen/>
      </w:r>
      <w:r w:rsidR="005372DA">
        <w:rPr>
          <w:noProof/>
        </w:rPr>
        <w:t>2</w:t>
      </w:r>
      <w:r>
        <w:fldChar w:fldCharType="end"/>
      </w:r>
      <w:r w:rsidR="001461ED" w:rsidRPr="00513E82">
        <w:rPr>
          <w:rFonts w:eastAsiaTheme="minorHAnsi"/>
        </w:rPr>
        <w:t xml:space="preserve"> shows the free-ridership and NTGR estimates the study determined through the self-report estimates from the distributor interviews.  </w:t>
      </w:r>
      <w:r w:rsidR="007F293B" w:rsidRPr="00513E82">
        <w:rPr>
          <w:rFonts w:eastAsiaTheme="minorHAnsi"/>
        </w:rPr>
        <w:t>T</w:t>
      </w:r>
      <w:r w:rsidR="001461ED" w:rsidRPr="00513E82">
        <w:rPr>
          <w:rFonts w:eastAsiaTheme="minorHAnsi"/>
        </w:rPr>
        <w:t xml:space="preserve">he </w:t>
      </w:r>
      <w:r w:rsidR="00FD0704" w:rsidRPr="00513E82">
        <w:rPr>
          <w:rFonts w:eastAsiaTheme="minorHAnsi"/>
        </w:rPr>
        <w:t>study did not recommend using the “by size” reported results.</w:t>
      </w:r>
    </w:p>
    <w:p w:rsidR="00536C88" w:rsidRDefault="00B70D42" w:rsidP="00B70D42">
      <w:pPr>
        <w:pStyle w:val="Caption"/>
      </w:pPr>
      <w:bookmarkStart w:id="1" w:name="_Ref307570433"/>
      <w:r>
        <w:t xml:space="preserve">Table </w:t>
      </w:r>
      <w:fldSimple w:instr=" STYLEREF 1 \s ">
        <w:r w:rsidR="005372DA">
          <w:rPr>
            <w:noProof/>
          </w:rPr>
          <w:t>10</w:t>
        </w:r>
      </w:fldSimple>
      <w:r>
        <w:noBreakHyphen/>
      </w:r>
      <w:fldSimple w:instr=" SEQ Table \* ARABIC \s 1 ">
        <w:r w:rsidR="005372DA">
          <w:rPr>
            <w:noProof/>
          </w:rPr>
          <w:t>2</w:t>
        </w:r>
      </w:fldSimple>
      <w:bookmarkEnd w:id="1"/>
      <w:r>
        <w:t xml:space="preserve">: '04-'05 Upstream </w:t>
      </w:r>
      <w:r w:rsidR="00536C88" w:rsidRPr="00513E82">
        <w:t>HVAC Study Free-Ridership Estimates and NTFR Ratios</w:t>
      </w:r>
    </w:p>
    <w:p w:rsidR="00312DEB" w:rsidRDefault="00312DEB" w:rsidP="00312DEB">
      <w:pPr>
        <w:rPr>
          <w:rFonts w:eastAsiaTheme="minorHAnsi"/>
        </w:rPr>
      </w:pPr>
      <w:r w:rsidRPr="00312DEB">
        <w:rPr>
          <w:noProof/>
        </w:rPr>
        <w:drawing>
          <wp:anchor distT="0" distB="0" distL="114300" distR="114300" simplePos="0" relativeHeight="251666432" behindDoc="0" locked="0" layoutInCell="1" allowOverlap="1">
            <wp:simplePos x="0" y="0"/>
            <wp:positionH relativeFrom="column">
              <wp:align>left</wp:align>
            </wp:positionH>
            <wp:positionV relativeFrom="paragraph">
              <wp:posOffset>25612</wp:posOffset>
            </wp:positionV>
            <wp:extent cx="5086350" cy="2353733"/>
            <wp:effectExtent l="19050" t="0" r="0" b="0"/>
            <wp:wrapTopAndBottom/>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srcRect t="12929"/>
                    <a:stretch>
                      <a:fillRect/>
                    </a:stretch>
                  </pic:blipFill>
                  <pic:spPr bwMode="auto">
                    <a:xfrm>
                      <a:off x="0" y="0"/>
                      <a:ext cx="5086350" cy="2354580"/>
                    </a:xfrm>
                    <a:prstGeom prst="rect">
                      <a:avLst/>
                    </a:prstGeom>
                    <a:noFill/>
                  </pic:spPr>
                </pic:pic>
              </a:graphicData>
            </a:graphic>
          </wp:anchor>
        </w:drawing>
      </w:r>
    </w:p>
    <w:p w:rsidR="009E5092" w:rsidRDefault="005168BB" w:rsidP="00312DEB">
      <w:pPr>
        <w:rPr>
          <w:rFonts w:eastAsiaTheme="minorHAnsi"/>
        </w:rPr>
      </w:pPr>
      <w:r>
        <w:rPr>
          <w:rFonts w:eastAsiaTheme="minorHAnsi"/>
        </w:rPr>
        <w:t xml:space="preserve">The study also presented </w:t>
      </w:r>
      <w:r w:rsidR="003563C3">
        <w:rPr>
          <w:rFonts w:eastAsiaTheme="minorHAnsi"/>
        </w:rPr>
        <w:t xml:space="preserve">the </w:t>
      </w:r>
      <w:r>
        <w:rPr>
          <w:rFonts w:eastAsiaTheme="minorHAnsi"/>
        </w:rPr>
        <w:t xml:space="preserve">self-reported free-ridership estimates by utility service area, shown in </w:t>
      </w:r>
      <w:r w:rsidR="0051453E">
        <w:rPr>
          <w:rFonts w:eastAsiaTheme="minorHAnsi"/>
        </w:rPr>
        <w:fldChar w:fldCharType="begin"/>
      </w:r>
      <w:r w:rsidR="00C23A4B">
        <w:rPr>
          <w:rFonts w:eastAsiaTheme="minorHAnsi"/>
        </w:rPr>
        <w:instrText xml:space="preserve"> REF _Ref306094908 \h </w:instrText>
      </w:r>
      <w:r w:rsidR="0051453E">
        <w:rPr>
          <w:rFonts w:eastAsiaTheme="minorHAnsi"/>
        </w:rPr>
      </w:r>
      <w:r w:rsidR="0051453E">
        <w:rPr>
          <w:rFonts w:eastAsiaTheme="minorHAnsi"/>
        </w:rPr>
        <w:fldChar w:fldCharType="separate"/>
      </w:r>
      <w:r w:rsidR="005372DA">
        <w:t xml:space="preserve">Table </w:t>
      </w:r>
      <w:r w:rsidR="005372DA">
        <w:rPr>
          <w:noProof/>
        </w:rPr>
        <w:t>10</w:t>
      </w:r>
      <w:r w:rsidR="005372DA">
        <w:noBreakHyphen/>
      </w:r>
      <w:r w:rsidR="005372DA">
        <w:rPr>
          <w:noProof/>
        </w:rPr>
        <w:t>3</w:t>
      </w:r>
      <w:r w:rsidR="0051453E">
        <w:rPr>
          <w:rFonts w:eastAsiaTheme="minorHAnsi"/>
        </w:rPr>
        <w:fldChar w:fldCharType="end"/>
      </w:r>
      <w:r>
        <w:rPr>
          <w:rFonts w:eastAsiaTheme="minorHAnsi"/>
        </w:rPr>
        <w:t xml:space="preserve">, and noted that the </w:t>
      </w:r>
      <w:r w:rsidR="0092492B">
        <w:rPr>
          <w:rFonts w:eastAsiaTheme="minorHAnsi"/>
        </w:rPr>
        <w:t xml:space="preserve">estimates </w:t>
      </w:r>
      <w:r>
        <w:rPr>
          <w:rFonts w:eastAsiaTheme="minorHAnsi"/>
        </w:rPr>
        <w:t xml:space="preserve">by utility </w:t>
      </w:r>
      <w:r w:rsidR="00E47414">
        <w:rPr>
          <w:rFonts w:eastAsiaTheme="minorHAnsi"/>
        </w:rPr>
        <w:t xml:space="preserve">were not </w:t>
      </w:r>
      <w:r>
        <w:rPr>
          <w:rFonts w:eastAsiaTheme="minorHAnsi"/>
        </w:rPr>
        <w:t>statistical</w:t>
      </w:r>
      <w:r w:rsidR="00E47414">
        <w:rPr>
          <w:rFonts w:eastAsiaTheme="minorHAnsi"/>
        </w:rPr>
        <w:t>ly</w:t>
      </w:r>
      <w:r>
        <w:rPr>
          <w:rFonts w:eastAsiaTheme="minorHAnsi"/>
        </w:rPr>
        <w:t xml:space="preserve"> </w:t>
      </w:r>
      <w:r w:rsidR="00E47414">
        <w:rPr>
          <w:rFonts w:eastAsiaTheme="minorHAnsi"/>
        </w:rPr>
        <w:t>valid</w:t>
      </w:r>
      <w:r>
        <w:rPr>
          <w:rFonts w:eastAsiaTheme="minorHAnsi"/>
        </w:rPr>
        <w:t>.</w:t>
      </w:r>
      <w:r w:rsidR="00E47414">
        <w:rPr>
          <w:rFonts w:eastAsiaTheme="minorHAnsi"/>
        </w:rPr>
        <w:t xml:space="preserve">  </w:t>
      </w:r>
    </w:p>
    <w:p w:rsidR="00312DEB" w:rsidRDefault="00312DEB">
      <w:pPr>
        <w:spacing w:after="130"/>
        <w:ind w:left="720" w:hanging="432"/>
        <w:rPr>
          <w:rFonts w:eastAsiaTheme="minorHAnsi"/>
        </w:rPr>
      </w:pPr>
      <w:r>
        <w:rPr>
          <w:rFonts w:eastAsiaTheme="minorHAnsi"/>
        </w:rPr>
        <w:br w:type="page"/>
      </w:r>
    </w:p>
    <w:p w:rsidR="00536C88" w:rsidRDefault="00B70D42" w:rsidP="00661EC5">
      <w:pPr>
        <w:pStyle w:val="Caption"/>
        <w:rPr>
          <w:rFonts w:eastAsiaTheme="minorHAnsi"/>
        </w:rPr>
      </w:pPr>
      <w:bookmarkStart w:id="2" w:name="_Ref306094908"/>
      <w:r>
        <w:lastRenderedPageBreak/>
        <w:t>Table</w:t>
      </w:r>
      <w:r w:rsidR="00536C88">
        <w:t xml:space="preserve"> </w:t>
      </w:r>
      <w:fldSimple w:instr=" STYLEREF 1 \s ">
        <w:r w:rsidR="005372DA">
          <w:rPr>
            <w:noProof/>
          </w:rPr>
          <w:t>10</w:t>
        </w:r>
      </w:fldSimple>
      <w:r>
        <w:noBreakHyphen/>
      </w:r>
      <w:fldSimple w:instr=" SEQ Table \* ARABIC \s 1 ">
        <w:r w:rsidR="005372DA">
          <w:rPr>
            <w:noProof/>
          </w:rPr>
          <w:t>3</w:t>
        </w:r>
      </w:fldSimple>
      <w:bookmarkEnd w:id="2"/>
      <w:r w:rsidR="00536C88">
        <w:t>: '04-'05 Upstream HVAC Study Free-Ridership Estimates by IOU</w:t>
      </w:r>
    </w:p>
    <w:p w:rsidR="005168BB" w:rsidRDefault="00536C88" w:rsidP="00312DEB">
      <w:pPr>
        <w:rPr>
          <w:rFonts w:eastAsiaTheme="minorHAnsi"/>
        </w:rPr>
      </w:pPr>
      <w:r w:rsidRPr="00536C88">
        <w:rPr>
          <w:rFonts w:eastAsiaTheme="minorHAnsi"/>
          <w:noProof/>
          <w:bdr w:val="double" w:sz="6" w:space="0" w:color="auto"/>
        </w:rPr>
        <w:drawing>
          <wp:anchor distT="0" distB="0" distL="114300" distR="114300" simplePos="0" relativeHeight="251662336" behindDoc="0" locked="0" layoutInCell="1" allowOverlap="1">
            <wp:simplePos x="1360170" y="5494020"/>
            <wp:positionH relativeFrom="column">
              <wp:align>left</wp:align>
            </wp:positionH>
            <wp:positionV relativeFrom="paragraph">
              <wp:posOffset>27305</wp:posOffset>
            </wp:positionV>
            <wp:extent cx="5071110" cy="1478280"/>
            <wp:effectExtent l="19050" t="0" r="0" b="0"/>
            <wp:wrapTopAndBottom/>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t="11901"/>
                    <a:stretch>
                      <a:fillRect/>
                    </a:stretch>
                  </pic:blipFill>
                  <pic:spPr bwMode="auto">
                    <a:xfrm>
                      <a:off x="0" y="0"/>
                      <a:ext cx="5071110" cy="1478280"/>
                    </a:xfrm>
                    <a:prstGeom prst="rect">
                      <a:avLst/>
                    </a:prstGeom>
                    <a:noFill/>
                    <a:ln w="9525">
                      <a:noFill/>
                      <a:miter lim="800000"/>
                      <a:headEnd/>
                      <a:tailEnd/>
                    </a:ln>
                  </pic:spPr>
                </pic:pic>
              </a:graphicData>
            </a:graphic>
          </wp:anchor>
        </w:drawing>
      </w:r>
      <w:r w:rsidR="00312DEB">
        <w:rPr>
          <w:rFonts w:eastAsiaTheme="minorHAnsi"/>
        </w:rPr>
        <w:br/>
      </w:r>
      <w:r w:rsidR="00E24FBA">
        <w:rPr>
          <w:rFonts w:eastAsiaTheme="minorHAnsi"/>
        </w:rPr>
        <w:t xml:space="preserve">The study’s Discrete Choice modeling yielded a NTGR value of 0.58 for Packaged and Split System Air Conditioners as shown </w:t>
      </w:r>
      <w:r w:rsidR="0051453E">
        <w:rPr>
          <w:rFonts w:eastAsiaTheme="minorHAnsi"/>
        </w:rPr>
        <w:fldChar w:fldCharType="begin"/>
      </w:r>
      <w:r w:rsidR="00312DEB">
        <w:rPr>
          <w:rFonts w:eastAsiaTheme="minorHAnsi"/>
        </w:rPr>
        <w:instrText xml:space="preserve"> REF _Ref307517210 \h </w:instrText>
      </w:r>
      <w:r w:rsidR="0051453E">
        <w:rPr>
          <w:rFonts w:eastAsiaTheme="minorHAnsi"/>
        </w:rPr>
      </w:r>
      <w:r w:rsidR="0051453E">
        <w:rPr>
          <w:rFonts w:eastAsiaTheme="minorHAnsi"/>
        </w:rPr>
        <w:fldChar w:fldCharType="separate"/>
      </w:r>
      <w:r w:rsidR="005372DA">
        <w:t xml:space="preserve">Table </w:t>
      </w:r>
      <w:r w:rsidR="005372DA">
        <w:rPr>
          <w:noProof/>
        </w:rPr>
        <w:t>10</w:t>
      </w:r>
      <w:r w:rsidR="005372DA">
        <w:noBreakHyphen/>
      </w:r>
      <w:r w:rsidR="005372DA">
        <w:rPr>
          <w:noProof/>
        </w:rPr>
        <w:t>4</w:t>
      </w:r>
      <w:r w:rsidR="0051453E">
        <w:rPr>
          <w:rFonts w:eastAsiaTheme="minorHAnsi"/>
        </w:rPr>
        <w:fldChar w:fldCharType="end"/>
      </w:r>
      <w:r w:rsidR="00E24FBA">
        <w:rPr>
          <w:rFonts w:eastAsiaTheme="minorHAnsi"/>
        </w:rPr>
        <w:t xml:space="preserve">. </w:t>
      </w:r>
      <w:r w:rsidR="00E33018">
        <w:rPr>
          <w:rFonts w:eastAsiaTheme="minorHAnsi"/>
        </w:rPr>
        <w:t xml:space="preserve"> </w:t>
      </w:r>
      <w:r w:rsidR="00E33018" w:rsidRPr="00F431FE">
        <w:rPr>
          <w:rFonts w:eastAsiaTheme="minorHAnsi"/>
        </w:rPr>
        <w:t xml:space="preserve">The study </w:t>
      </w:r>
      <w:r w:rsidR="00E33018">
        <w:rPr>
          <w:rFonts w:eastAsiaTheme="minorHAnsi"/>
        </w:rPr>
        <w:t xml:space="preserve">describes a number of problems with the Discrete Choice analysis and concluded that its resultant value for the air conditioner analysis may be biased downwards.  Further problems may have existed with the self-reporting of non-participants air conditioners and their ability to report on the efficiency level of the equipment they purchased.  </w:t>
      </w:r>
    </w:p>
    <w:p w:rsidR="00536C88" w:rsidRDefault="00B70D42" w:rsidP="00661EC5">
      <w:pPr>
        <w:pStyle w:val="Caption"/>
        <w:rPr>
          <w:rFonts w:eastAsiaTheme="minorHAnsi"/>
        </w:rPr>
      </w:pPr>
      <w:bookmarkStart w:id="3" w:name="_Ref307517210"/>
      <w:r>
        <w:t>Table</w:t>
      </w:r>
      <w:r w:rsidR="00536C88">
        <w:t xml:space="preserve"> </w:t>
      </w:r>
      <w:fldSimple w:instr=" STYLEREF 1 \s ">
        <w:r w:rsidR="005372DA">
          <w:rPr>
            <w:noProof/>
          </w:rPr>
          <w:t>10</w:t>
        </w:r>
      </w:fldSimple>
      <w:r>
        <w:noBreakHyphen/>
      </w:r>
      <w:fldSimple w:instr=" SEQ Table \* ARABIC \s 1 ">
        <w:r w:rsidR="005372DA">
          <w:rPr>
            <w:noProof/>
          </w:rPr>
          <w:t>4</w:t>
        </w:r>
      </w:fldSimple>
      <w:bookmarkEnd w:id="3"/>
      <w:r w:rsidR="00536C88">
        <w:t>: '04-'05 Express and Upstream Study NTGR Results</w:t>
      </w:r>
    </w:p>
    <w:p w:rsidR="00F431FE" w:rsidRPr="00F431FE" w:rsidRDefault="00536C88" w:rsidP="006C0E5E">
      <w:pPr>
        <w:rPr>
          <w:rFonts w:eastAsiaTheme="minorHAnsi"/>
        </w:rPr>
      </w:pPr>
      <w:r w:rsidRPr="00536C88">
        <w:rPr>
          <w:rFonts w:eastAsiaTheme="minorHAnsi"/>
          <w:noProof/>
          <w:bdr w:val="double" w:sz="6" w:space="0" w:color="auto"/>
        </w:rPr>
        <w:drawing>
          <wp:anchor distT="0" distB="0" distL="114300" distR="114300" simplePos="0" relativeHeight="251664384" behindDoc="0" locked="0" layoutInCell="1" allowOverlap="1">
            <wp:simplePos x="0" y="0"/>
            <wp:positionH relativeFrom="column">
              <wp:align>left</wp:align>
            </wp:positionH>
            <wp:positionV relativeFrom="paragraph">
              <wp:posOffset>0</wp:posOffset>
            </wp:positionV>
            <wp:extent cx="5343525" cy="3314700"/>
            <wp:effectExtent l="19050" t="0" r="9525" b="0"/>
            <wp:wrapTopAndBottom/>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t="9743"/>
                    <a:stretch>
                      <a:fillRect/>
                    </a:stretch>
                  </pic:blipFill>
                  <pic:spPr bwMode="auto">
                    <a:xfrm>
                      <a:off x="0" y="0"/>
                      <a:ext cx="5343525" cy="3314700"/>
                    </a:xfrm>
                    <a:prstGeom prst="rect">
                      <a:avLst/>
                    </a:prstGeom>
                    <a:noFill/>
                    <a:ln w="9525">
                      <a:noFill/>
                      <a:miter lim="800000"/>
                      <a:headEnd/>
                      <a:tailEnd/>
                    </a:ln>
                  </pic:spPr>
                </pic:pic>
              </a:graphicData>
            </a:graphic>
          </wp:anchor>
        </w:drawing>
      </w:r>
      <w:r w:rsidR="00312DEB">
        <w:rPr>
          <w:rFonts w:eastAsiaTheme="minorHAnsi"/>
        </w:rPr>
        <w:br/>
      </w:r>
      <w:r w:rsidR="00F431FE">
        <w:rPr>
          <w:rFonts w:eastAsiaTheme="minorHAnsi"/>
        </w:rPr>
        <w:t xml:space="preserve">If nonparticipants over-reported the efficiency level of their purchase, the effect could result in an over-stated free-ridership value.  </w:t>
      </w:r>
      <w:r w:rsidR="007B0DCA">
        <w:rPr>
          <w:rFonts w:eastAsiaTheme="minorHAnsi"/>
        </w:rPr>
        <w:t xml:space="preserve">Due to these issues, the study recommended using the upstream self-report result of 0.72 for Packaged and Split System Air Conditioners.  </w:t>
      </w:r>
      <w:r w:rsidR="004211B7">
        <w:rPr>
          <w:rFonts w:eastAsiaTheme="minorHAnsi"/>
        </w:rPr>
        <w:t xml:space="preserve">The Technology Group 2 team did not find </w:t>
      </w:r>
      <w:r w:rsidR="004564B9">
        <w:rPr>
          <w:rFonts w:eastAsiaTheme="minorHAnsi"/>
        </w:rPr>
        <w:t xml:space="preserve">in </w:t>
      </w:r>
      <w:r w:rsidR="004211B7">
        <w:rPr>
          <w:rFonts w:eastAsiaTheme="minorHAnsi"/>
        </w:rPr>
        <w:t xml:space="preserve">the available 2008 DEER documentation how and why the 0.85 NTGR value was adopted and it appears to be a consensus judgment value.  </w:t>
      </w:r>
    </w:p>
    <w:p w:rsidR="009E5092" w:rsidRDefault="00B2276F" w:rsidP="00661EC5">
      <w:pPr>
        <w:pStyle w:val="Caption"/>
      </w:pPr>
      <w:r>
        <w:lastRenderedPageBreak/>
        <w:t xml:space="preserve">Table </w:t>
      </w:r>
      <w:fldSimple w:instr=" STYLEREF 1 \s ">
        <w:r w:rsidR="005372DA">
          <w:rPr>
            <w:noProof/>
          </w:rPr>
          <w:t>10</w:t>
        </w:r>
      </w:fldSimple>
      <w:r w:rsidR="00B70D42">
        <w:noBreakHyphen/>
      </w:r>
      <w:fldSimple w:instr=" SEQ Table \* ARABIC \s 1 ">
        <w:r w:rsidR="005372DA">
          <w:rPr>
            <w:noProof/>
          </w:rPr>
          <w:t>5</w:t>
        </w:r>
      </w:fldSimple>
      <w:r>
        <w:t xml:space="preserve">:  Methods and Sample Sizes for </w:t>
      </w:r>
      <w:r w:rsidR="00C85B55">
        <w:t>Commercial</w:t>
      </w:r>
      <w:r>
        <w:t xml:space="preserve"> HVAC </w:t>
      </w:r>
      <w:r w:rsidR="00B05AA0">
        <w:t xml:space="preserve">EEMs in the </w:t>
      </w:r>
      <w:r w:rsidR="00143D3E">
        <w:t>‘</w:t>
      </w:r>
      <w:r w:rsidR="00B05AA0">
        <w:t>06-</w:t>
      </w:r>
      <w:r w:rsidR="00143D3E">
        <w:t>‘0</w:t>
      </w:r>
      <w:r w:rsidR="00B05AA0">
        <w:t>8 EM&amp;V Studies</w:t>
      </w:r>
    </w:p>
    <w:tbl>
      <w:tblPr>
        <w:tblStyle w:val="ItronBasic"/>
        <w:tblW w:w="9590" w:type="dxa"/>
        <w:tblCellMar>
          <w:left w:w="115" w:type="dxa"/>
          <w:right w:w="115" w:type="dxa"/>
        </w:tblCellMar>
        <w:tblLook w:val="04A0"/>
      </w:tblPr>
      <w:tblGrid>
        <w:gridCol w:w="1918"/>
        <w:gridCol w:w="2337"/>
        <w:gridCol w:w="1620"/>
        <w:gridCol w:w="2250"/>
        <w:gridCol w:w="1465"/>
      </w:tblGrid>
      <w:tr w:rsidR="00B2276F" w:rsidTr="00B93D94">
        <w:trPr>
          <w:cnfStyle w:val="100000000000"/>
          <w:tblHeader/>
        </w:trPr>
        <w:tc>
          <w:tcPr>
            <w:tcW w:w="1918" w:type="dxa"/>
            <w:shd w:val="pct20" w:color="auto" w:fill="auto"/>
            <w:vAlign w:val="center"/>
          </w:tcPr>
          <w:p w:rsidR="00B2276F" w:rsidRDefault="00B93D94" w:rsidP="00C85B55">
            <w:pPr>
              <w:keepNext/>
              <w:keepLines/>
              <w:spacing w:before="40" w:after="40"/>
              <w:jc w:val="center"/>
            </w:pPr>
            <w:r>
              <w:t>EEM</w:t>
            </w:r>
          </w:p>
        </w:tc>
        <w:tc>
          <w:tcPr>
            <w:tcW w:w="2337" w:type="dxa"/>
            <w:shd w:val="pct20" w:color="auto" w:fill="auto"/>
            <w:vAlign w:val="center"/>
          </w:tcPr>
          <w:p w:rsidR="00B2276F" w:rsidRDefault="00B2276F" w:rsidP="00B93D94">
            <w:pPr>
              <w:keepNext/>
              <w:keepLines/>
              <w:spacing w:before="40" w:after="40"/>
              <w:jc w:val="center"/>
            </w:pPr>
            <w:r>
              <w:t xml:space="preserve">Market Segment and </w:t>
            </w:r>
            <w:r w:rsidR="00B93D94">
              <w:t>P</w:t>
            </w:r>
            <w:r>
              <w:t xml:space="preserve">rogram </w:t>
            </w:r>
            <w:r w:rsidR="00B93D94">
              <w:t>Y</w:t>
            </w:r>
            <w:r>
              <w:t>ear</w:t>
            </w:r>
          </w:p>
        </w:tc>
        <w:tc>
          <w:tcPr>
            <w:tcW w:w="1620" w:type="dxa"/>
            <w:shd w:val="pct20" w:color="auto" w:fill="auto"/>
            <w:vAlign w:val="center"/>
          </w:tcPr>
          <w:p w:rsidR="00B2276F" w:rsidRDefault="00B2276F" w:rsidP="00C85B55">
            <w:pPr>
              <w:keepNext/>
              <w:keepLines/>
              <w:spacing w:before="40" w:after="40"/>
              <w:jc w:val="center"/>
            </w:pPr>
            <w:r>
              <w:t>NTGR Method Used</w:t>
            </w:r>
          </w:p>
        </w:tc>
        <w:tc>
          <w:tcPr>
            <w:tcW w:w="2250" w:type="dxa"/>
            <w:shd w:val="pct20" w:color="auto" w:fill="auto"/>
            <w:vAlign w:val="center"/>
          </w:tcPr>
          <w:p w:rsidR="00B2276F" w:rsidRDefault="00B2276F" w:rsidP="00C85B55">
            <w:pPr>
              <w:keepNext/>
              <w:keepLines/>
              <w:spacing w:before="40" w:after="40"/>
              <w:jc w:val="center"/>
            </w:pPr>
            <w:r>
              <w:t>Sample Size</w:t>
            </w:r>
            <w:r w:rsidR="00B93D94">
              <w:t>s</w:t>
            </w:r>
          </w:p>
        </w:tc>
        <w:tc>
          <w:tcPr>
            <w:tcW w:w="1465" w:type="dxa"/>
            <w:shd w:val="pct20" w:color="auto" w:fill="auto"/>
            <w:vAlign w:val="center"/>
          </w:tcPr>
          <w:p w:rsidR="00B2276F" w:rsidRDefault="00B2276F" w:rsidP="00C85B55">
            <w:pPr>
              <w:keepNext/>
              <w:keepLines/>
              <w:spacing w:before="40" w:after="40"/>
              <w:jc w:val="center"/>
            </w:pPr>
            <w:r>
              <w:t>Delivery Mechanism</w:t>
            </w:r>
          </w:p>
        </w:tc>
      </w:tr>
      <w:tr w:rsidR="00277449" w:rsidRPr="00EE3A7D" w:rsidTr="00F33BE6">
        <w:trPr>
          <w:cantSplit/>
        </w:trPr>
        <w:tc>
          <w:tcPr>
            <w:tcW w:w="1918" w:type="dxa"/>
            <w:vAlign w:val="center"/>
          </w:tcPr>
          <w:p w:rsidR="00B2276F" w:rsidRPr="00EE3A7D" w:rsidRDefault="00B93D94" w:rsidP="00EE3A7D">
            <w:pPr>
              <w:spacing w:after="0"/>
              <w:rPr>
                <w:rFonts w:eastAsiaTheme="minorHAnsi"/>
                <w:sz w:val="20"/>
              </w:rPr>
            </w:pPr>
            <w:r w:rsidRPr="003D3FF2">
              <w:rPr>
                <w:rFonts w:eastAsiaTheme="minorHAnsi"/>
                <w:sz w:val="18"/>
              </w:rPr>
              <w:t>HVAC Maintenance: Refrigerant Charge Adjustment</w:t>
            </w:r>
          </w:p>
        </w:tc>
        <w:tc>
          <w:tcPr>
            <w:tcW w:w="2337" w:type="dxa"/>
            <w:vAlign w:val="center"/>
          </w:tcPr>
          <w:p w:rsidR="00B2276F" w:rsidRPr="00EE3A7D" w:rsidRDefault="00B93D94" w:rsidP="00EE3A7D">
            <w:pPr>
              <w:keepNext/>
              <w:keepLines/>
              <w:spacing w:after="0"/>
              <w:rPr>
                <w:sz w:val="20"/>
              </w:rPr>
            </w:pPr>
            <w:r>
              <w:rPr>
                <w:sz w:val="20"/>
              </w:rPr>
              <w:t>Non-Residential</w:t>
            </w:r>
          </w:p>
          <w:p w:rsidR="0050194C" w:rsidRPr="00EE3A7D" w:rsidRDefault="00B93D94" w:rsidP="00EE3A7D">
            <w:pPr>
              <w:keepNext/>
              <w:keepLines/>
              <w:spacing w:after="0"/>
              <w:rPr>
                <w:sz w:val="20"/>
              </w:rPr>
            </w:pPr>
            <w:r>
              <w:rPr>
                <w:sz w:val="20"/>
              </w:rPr>
              <w:t>2006 – 2008</w:t>
            </w:r>
          </w:p>
        </w:tc>
        <w:tc>
          <w:tcPr>
            <w:tcW w:w="1620" w:type="dxa"/>
            <w:vAlign w:val="center"/>
          </w:tcPr>
          <w:p w:rsidR="00B2276F" w:rsidRPr="00EE3A7D" w:rsidRDefault="00B2276F" w:rsidP="00B93D94">
            <w:pPr>
              <w:keepNext/>
              <w:keepLines/>
              <w:spacing w:after="0"/>
              <w:rPr>
                <w:sz w:val="20"/>
              </w:rPr>
            </w:pPr>
            <w:r w:rsidRPr="00EE3A7D">
              <w:rPr>
                <w:sz w:val="20"/>
              </w:rPr>
              <w:t xml:space="preserve"> </w:t>
            </w:r>
            <w:r w:rsidR="0050194C" w:rsidRPr="00EE3A7D">
              <w:rPr>
                <w:sz w:val="20"/>
              </w:rPr>
              <w:t>Self Report</w:t>
            </w:r>
            <w:r w:rsidR="00B93D94">
              <w:rPr>
                <w:sz w:val="20"/>
              </w:rPr>
              <w:t xml:space="preserve"> Approach</w:t>
            </w:r>
          </w:p>
        </w:tc>
        <w:tc>
          <w:tcPr>
            <w:tcW w:w="2250" w:type="dxa"/>
            <w:vAlign w:val="center"/>
          </w:tcPr>
          <w:p w:rsidR="00B93D94" w:rsidRPr="00B93D94" w:rsidRDefault="00B93D94" w:rsidP="0075386B">
            <w:pPr>
              <w:tabs>
                <w:tab w:val="decimal" w:pos="696"/>
                <w:tab w:val="decimal" w:pos="1325"/>
                <w:tab w:val="decimal" w:pos="1775"/>
              </w:tabs>
              <w:spacing w:after="0"/>
              <w:rPr>
                <w:sz w:val="20"/>
                <w:szCs w:val="16"/>
              </w:rPr>
            </w:pPr>
            <w:r w:rsidRPr="00B93D94">
              <w:rPr>
                <w:sz w:val="20"/>
                <w:szCs w:val="16"/>
              </w:rPr>
              <w:t>PG&amp;E2068</w:t>
            </w:r>
            <w:r w:rsidRPr="00B93D94">
              <w:rPr>
                <w:sz w:val="20"/>
                <w:szCs w:val="16"/>
              </w:rPr>
              <w:tab/>
            </w:r>
            <w:r>
              <w:rPr>
                <w:sz w:val="20"/>
                <w:szCs w:val="16"/>
              </w:rPr>
              <w:tab/>
            </w:r>
            <w:r w:rsidRPr="00B93D94">
              <w:rPr>
                <w:sz w:val="20"/>
                <w:szCs w:val="16"/>
              </w:rPr>
              <w:t>122</w:t>
            </w:r>
          </w:p>
          <w:p w:rsidR="00B93D94" w:rsidRPr="00B93D94" w:rsidRDefault="00B93D94" w:rsidP="00B93D94">
            <w:pPr>
              <w:tabs>
                <w:tab w:val="decimal" w:pos="696"/>
                <w:tab w:val="decimal" w:pos="1151"/>
                <w:tab w:val="decimal" w:pos="1775"/>
              </w:tabs>
              <w:spacing w:after="0"/>
              <w:rPr>
                <w:sz w:val="20"/>
                <w:szCs w:val="16"/>
              </w:rPr>
            </w:pPr>
            <w:r w:rsidRPr="00B93D94">
              <w:rPr>
                <w:sz w:val="20"/>
                <w:szCs w:val="16"/>
              </w:rPr>
              <w:t>PG&amp;E2080</w:t>
            </w:r>
            <w:r w:rsidRPr="00B93D94">
              <w:rPr>
                <w:sz w:val="20"/>
                <w:szCs w:val="16"/>
              </w:rPr>
              <w:tab/>
            </w:r>
            <w:r>
              <w:rPr>
                <w:sz w:val="20"/>
                <w:szCs w:val="16"/>
              </w:rPr>
              <w:tab/>
            </w:r>
            <w:r w:rsidRPr="00B93D94">
              <w:rPr>
                <w:sz w:val="20"/>
                <w:szCs w:val="16"/>
              </w:rPr>
              <w:t>92</w:t>
            </w:r>
          </w:p>
          <w:p w:rsidR="00B93D94" w:rsidRPr="00B93D94" w:rsidRDefault="00B93D94" w:rsidP="00B93D94">
            <w:pPr>
              <w:tabs>
                <w:tab w:val="decimal" w:pos="696"/>
                <w:tab w:val="decimal" w:pos="1151"/>
                <w:tab w:val="decimal" w:pos="1775"/>
              </w:tabs>
              <w:spacing w:after="0"/>
              <w:rPr>
                <w:sz w:val="20"/>
                <w:szCs w:val="16"/>
              </w:rPr>
            </w:pPr>
            <w:r w:rsidRPr="00B93D94">
              <w:rPr>
                <w:sz w:val="20"/>
                <w:szCs w:val="16"/>
              </w:rPr>
              <w:t>SCE2507</w:t>
            </w:r>
            <w:r w:rsidRPr="00B93D94">
              <w:rPr>
                <w:sz w:val="20"/>
                <w:szCs w:val="16"/>
              </w:rPr>
              <w:tab/>
            </w:r>
            <w:r w:rsidRPr="00B93D94">
              <w:rPr>
                <w:sz w:val="20"/>
                <w:szCs w:val="16"/>
              </w:rPr>
              <w:tab/>
              <w:t>23</w:t>
            </w:r>
          </w:p>
          <w:p w:rsidR="00B93D94" w:rsidRPr="00B93D94" w:rsidRDefault="00B93D94" w:rsidP="0075386B">
            <w:pPr>
              <w:tabs>
                <w:tab w:val="decimal" w:pos="0"/>
                <w:tab w:val="decimal" w:pos="1151"/>
                <w:tab w:val="decimal" w:pos="1775"/>
              </w:tabs>
              <w:spacing w:after="0"/>
              <w:rPr>
                <w:sz w:val="20"/>
                <w:szCs w:val="16"/>
              </w:rPr>
            </w:pPr>
            <w:r w:rsidRPr="00B93D94">
              <w:rPr>
                <w:sz w:val="20"/>
                <w:szCs w:val="16"/>
              </w:rPr>
              <w:t>SDG&amp;E3043</w:t>
            </w:r>
            <w:r w:rsidRPr="00B93D94">
              <w:rPr>
                <w:sz w:val="20"/>
                <w:szCs w:val="16"/>
              </w:rPr>
              <w:tab/>
            </w:r>
            <w:r w:rsidR="0075386B">
              <w:rPr>
                <w:sz w:val="20"/>
                <w:szCs w:val="16"/>
              </w:rPr>
              <w:tab/>
            </w:r>
            <w:r w:rsidRPr="00B93D94">
              <w:rPr>
                <w:sz w:val="20"/>
                <w:szCs w:val="16"/>
              </w:rPr>
              <w:t>23</w:t>
            </w:r>
          </w:p>
          <w:p w:rsidR="00B2276F" w:rsidRPr="00EE3A7D" w:rsidRDefault="00B93D94" w:rsidP="0075386B">
            <w:pPr>
              <w:keepNext/>
              <w:keepLines/>
              <w:tabs>
                <w:tab w:val="left" w:pos="875"/>
                <w:tab w:val="decimal" w:pos="1775"/>
              </w:tabs>
              <w:spacing w:after="0"/>
              <w:rPr>
                <w:sz w:val="20"/>
              </w:rPr>
            </w:pPr>
            <w:r w:rsidRPr="00B93D94">
              <w:rPr>
                <w:sz w:val="20"/>
                <w:szCs w:val="16"/>
              </w:rPr>
              <w:tab/>
              <w:t>Total:</w:t>
            </w:r>
            <w:r w:rsidRPr="00B93D94">
              <w:rPr>
                <w:sz w:val="20"/>
                <w:szCs w:val="16"/>
              </w:rPr>
              <w:tab/>
              <w:t>260</w:t>
            </w:r>
          </w:p>
        </w:tc>
        <w:tc>
          <w:tcPr>
            <w:tcW w:w="1465" w:type="dxa"/>
            <w:vAlign w:val="center"/>
          </w:tcPr>
          <w:p w:rsidR="00B2276F" w:rsidRPr="00EE3A7D" w:rsidRDefault="00B93D94" w:rsidP="00EE3A7D">
            <w:pPr>
              <w:keepNext/>
              <w:keepLines/>
              <w:spacing w:after="0"/>
              <w:rPr>
                <w:sz w:val="20"/>
              </w:rPr>
            </w:pPr>
            <w:r>
              <w:rPr>
                <w:sz w:val="20"/>
              </w:rPr>
              <w:t>Midstream</w:t>
            </w:r>
          </w:p>
        </w:tc>
      </w:tr>
      <w:tr w:rsidR="00277449" w:rsidRPr="00EE3A7D" w:rsidTr="003649C0">
        <w:trPr>
          <w:cantSplit/>
        </w:trPr>
        <w:tc>
          <w:tcPr>
            <w:tcW w:w="1918" w:type="dxa"/>
            <w:vAlign w:val="center"/>
          </w:tcPr>
          <w:p w:rsidR="00B2276F" w:rsidRPr="00EE3A7D" w:rsidRDefault="00B93D94" w:rsidP="00EE3A7D">
            <w:pPr>
              <w:spacing w:after="0"/>
              <w:rPr>
                <w:rFonts w:eastAsiaTheme="minorHAnsi"/>
                <w:sz w:val="20"/>
              </w:rPr>
            </w:pPr>
            <w:r w:rsidRPr="003D3FF2">
              <w:rPr>
                <w:rFonts w:eastAsiaTheme="minorHAnsi"/>
                <w:sz w:val="18"/>
              </w:rPr>
              <w:t>RCx Packages</w:t>
            </w:r>
          </w:p>
        </w:tc>
        <w:tc>
          <w:tcPr>
            <w:tcW w:w="2337" w:type="dxa"/>
            <w:vAlign w:val="center"/>
          </w:tcPr>
          <w:p w:rsidR="00B2276F" w:rsidRDefault="00B93D94" w:rsidP="00B93D94">
            <w:pPr>
              <w:keepNext/>
              <w:keepLines/>
              <w:spacing w:after="0"/>
              <w:rPr>
                <w:sz w:val="20"/>
              </w:rPr>
            </w:pPr>
            <w:r>
              <w:rPr>
                <w:sz w:val="20"/>
              </w:rPr>
              <w:t>Non-Residential</w:t>
            </w:r>
          </w:p>
          <w:p w:rsidR="00B93D94" w:rsidRPr="00EE3A7D" w:rsidRDefault="00B93D94" w:rsidP="00B93D94">
            <w:pPr>
              <w:keepNext/>
              <w:keepLines/>
              <w:spacing w:after="0"/>
              <w:rPr>
                <w:sz w:val="20"/>
              </w:rPr>
            </w:pPr>
            <w:r>
              <w:rPr>
                <w:sz w:val="20"/>
              </w:rPr>
              <w:t>2006 – 2008</w:t>
            </w:r>
          </w:p>
        </w:tc>
        <w:tc>
          <w:tcPr>
            <w:tcW w:w="1620" w:type="dxa"/>
            <w:vAlign w:val="center"/>
          </w:tcPr>
          <w:p w:rsidR="00B2276F" w:rsidRPr="00EE3A7D" w:rsidRDefault="00B2276F" w:rsidP="00EE3A7D">
            <w:pPr>
              <w:keepNext/>
              <w:keepLines/>
              <w:spacing w:after="0"/>
              <w:rPr>
                <w:sz w:val="20"/>
              </w:rPr>
            </w:pPr>
            <w:r w:rsidRPr="00EE3A7D">
              <w:rPr>
                <w:sz w:val="20"/>
              </w:rPr>
              <w:t xml:space="preserve"> </w:t>
            </w:r>
            <w:r w:rsidR="0050194C" w:rsidRPr="00EE3A7D">
              <w:rPr>
                <w:sz w:val="20"/>
              </w:rPr>
              <w:t>Self Report</w:t>
            </w:r>
            <w:r w:rsidR="00B93D94">
              <w:rPr>
                <w:sz w:val="20"/>
              </w:rPr>
              <w:t xml:space="preserve"> Approach</w:t>
            </w:r>
          </w:p>
        </w:tc>
        <w:tc>
          <w:tcPr>
            <w:tcW w:w="2250" w:type="dxa"/>
            <w:vAlign w:val="center"/>
          </w:tcPr>
          <w:p w:rsidR="0056560B" w:rsidRPr="0056560B" w:rsidRDefault="0056560B" w:rsidP="0056560B">
            <w:pPr>
              <w:tabs>
                <w:tab w:val="decimal" w:pos="1775"/>
                <w:tab w:val="decimal" w:pos="2411"/>
              </w:tabs>
              <w:spacing w:after="0"/>
              <w:rPr>
                <w:sz w:val="20"/>
                <w:szCs w:val="16"/>
              </w:rPr>
            </w:pPr>
            <w:r w:rsidRPr="0056560B">
              <w:rPr>
                <w:sz w:val="20"/>
                <w:szCs w:val="16"/>
              </w:rPr>
              <w:t>PG&amp;E</w:t>
            </w:r>
            <w:r w:rsidRPr="0056560B">
              <w:rPr>
                <w:sz w:val="20"/>
                <w:szCs w:val="16"/>
              </w:rPr>
              <w:tab/>
              <w:t>73</w:t>
            </w:r>
          </w:p>
          <w:p w:rsidR="0056560B" w:rsidRPr="0056560B" w:rsidRDefault="0056560B" w:rsidP="0056560B">
            <w:pPr>
              <w:tabs>
                <w:tab w:val="decimal" w:pos="1775"/>
                <w:tab w:val="decimal" w:pos="2411"/>
              </w:tabs>
              <w:spacing w:after="0"/>
              <w:rPr>
                <w:sz w:val="20"/>
                <w:szCs w:val="16"/>
              </w:rPr>
            </w:pPr>
            <w:r w:rsidRPr="0056560B">
              <w:rPr>
                <w:sz w:val="20"/>
                <w:szCs w:val="16"/>
              </w:rPr>
              <w:t>SCE</w:t>
            </w:r>
            <w:r w:rsidRPr="0056560B">
              <w:rPr>
                <w:sz w:val="20"/>
                <w:szCs w:val="16"/>
              </w:rPr>
              <w:tab/>
              <w:t>29</w:t>
            </w:r>
          </w:p>
          <w:p w:rsidR="0056560B" w:rsidRPr="0056560B" w:rsidRDefault="0056560B" w:rsidP="0056560B">
            <w:pPr>
              <w:tabs>
                <w:tab w:val="decimal" w:pos="1775"/>
                <w:tab w:val="decimal" w:pos="2411"/>
              </w:tabs>
              <w:spacing w:after="0"/>
              <w:rPr>
                <w:sz w:val="20"/>
                <w:szCs w:val="16"/>
              </w:rPr>
            </w:pPr>
            <w:r w:rsidRPr="0056560B">
              <w:rPr>
                <w:sz w:val="20"/>
                <w:szCs w:val="16"/>
              </w:rPr>
              <w:t>SCG</w:t>
            </w:r>
            <w:r w:rsidRPr="0056560B">
              <w:rPr>
                <w:sz w:val="20"/>
                <w:szCs w:val="16"/>
              </w:rPr>
              <w:tab/>
              <w:t>15</w:t>
            </w:r>
          </w:p>
          <w:p w:rsidR="0056560B" w:rsidRDefault="0056560B" w:rsidP="0056560B">
            <w:pPr>
              <w:tabs>
                <w:tab w:val="decimal" w:pos="1775"/>
                <w:tab w:val="decimal" w:pos="2411"/>
              </w:tabs>
              <w:spacing w:after="0"/>
              <w:rPr>
                <w:sz w:val="20"/>
                <w:szCs w:val="16"/>
              </w:rPr>
            </w:pPr>
            <w:r w:rsidRPr="0056560B">
              <w:rPr>
                <w:sz w:val="20"/>
                <w:szCs w:val="16"/>
              </w:rPr>
              <w:t>SDG&amp;E</w:t>
            </w:r>
            <w:r w:rsidRPr="0056560B">
              <w:rPr>
                <w:sz w:val="20"/>
                <w:szCs w:val="16"/>
              </w:rPr>
              <w:tab/>
              <w:t>3</w:t>
            </w:r>
          </w:p>
          <w:p w:rsidR="00B2276F" w:rsidRPr="0056560B" w:rsidRDefault="0056560B" w:rsidP="0056560B">
            <w:pPr>
              <w:tabs>
                <w:tab w:val="left" w:pos="875"/>
                <w:tab w:val="decimal" w:pos="1775"/>
                <w:tab w:val="decimal" w:pos="2411"/>
              </w:tabs>
              <w:spacing w:after="0"/>
              <w:rPr>
                <w:sz w:val="20"/>
                <w:szCs w:val="16"/>
              </w:rPr>
            </w:pPr>
            <w:r>
              <w:rPr>
                <w:sz w:val="20"/>
                <w:szCs w:val="16"/>
              </w:rPr>
              <w:tab/>
            </w:r>
            <w:r w:rsidRPr="0056560B">
              <w:rPr>
                <w:sz w:val="20"/>
                <w:szCs w:val="16"/>
              </w:rPr>
              <w:t>Total:</w:t>
            </w:r>
            <w:r w:rsidRPr="0056560B">
              <w:rPr>
                <w:sz w:val="20"/>
                <w:szCs w:val="16"/>
              </w:rPr>
              <w:tab/>
              <w:t>120</w:t>
            </w:r>
          </w:p>
        </w:tc>
        <w:tc>
          <w:tcPr>
            <w:tcW w:w="1465" w:type="dxa"/>
            <w:vAlign w:val="center"/>
          </w:tcPr>
          <w:p w:rsidR="00B2276F" w:rsidRPr="00EE3A7D" w:rsidRDefault="0056560B" w:rsidP="00EE3A7D">
            <w:pPr>
              <w:keepNext/>
              <w:keepLines/>
              <w:spacing w:after="0"/>
              <w:rPr>
                <w:sz w:val="20"/>
              </w:rPr>
            </w:pPr>
            <w:r>
              <w:rPr>
                <w:sz w:val="20"/>
              </w:rPr>
              <w:t>Customized Incentives, Downstream</w:t>
            </w:r>
          </w:p>
        </w:tc>
      </w:tr>
      <w:tr w:rsidR="00277449" w:rsidRPr="00EE3A7D" w:rsidTr="001515EB">
        <w:trPr>
          <w:cantSplit/>
        </w:trPr>
        <w:tc>
          <w:tcPr>
            <w:tcW w:w="1918" w:type="dxa"/>
            <w:vAlign w:val="center"/>
          </w:tcPr>
          <w:p w:rsidR="00B2276F" w:rsidRPr="00EE3A7D" w:rsidRDefault="00B93D94" w:rsidP="00EE3A7D">
            <w:pPr>
              <w:spacing w:after="0"/>
              <w:rPr>
                <w:rFonts w:eastAsiaTheme="minorHAnsi"/>
                <w:sz w:val="20"/>
              </w:rPr>
            </w:pPr>
            <w:r w:rsidRPr="003D3FF2">
              <w:rPr>
                <w:rFonts w:eastAsiaTheme="minorHAnsi"/>
                <w:sz w:val="18"/>
              </w:rPr>
              <w:t>Chiller Replacements</w:t>
            </w:r>
          </w:p>
        </w:tc>
        <w:tc>
          <w:tcPr>
            <w:tcW w:w="2337" w:type="dxa"/>
            <w:vAlign w:val="center"/>
          </w:tcPr>
          <w:p w:rsidR="00B93D94" w:rsidRDefault="00B93D94" w:rsidP="00B93D94">
            <w:pPr>
              <w:keepNext/>
              <w:keepLines/>
              <w:spacing w:after="0"/>
              <w:rPr>
                <w:sz w:val="20"/>
              </w:rPr>
            </w:pPr>
            <w:r>
              <w:rPr>
                <w:sz w:val="20"/>
              </w:rPr>
              <w:t>Non-Residential</w:t>
            </w:r>
          </w:p>
          <w:p w:rsidR="00B2276F" w:rsidRPr="00EE3A7D" w:rsidRDefault="00B93D94" w:rsidP="00B93D94">
            <w:pPr>
              <w:keepNext/>
              <w:keepLines/>
              <w:spacing w:after="0"/>
              <w:rPr>
                <w:sz w:val="20"/>
              </w:rPr>
            </w:pPr>
            <w:r>
              <w:rPr>
                <w:sz w:val="20"/>
              </w:rPr>
              <w:t>2006 – 2008</w:t>
            </w:r>
          </w:p>
        </w:tc>
        <w:tc>
          <w:tcPr>
            <w:tcW w:w="1620" w:type="dxa"/>
            <w:vAlign w:val="center"/>
          </w:tcPr>
          <w:p w:rsidR="00B2276F" w:rsidRPr="00EE3A7D" w:rsidRDefault="0050194C" w:rsidP="00EE3A7D">
            <w:pPr>
              <w:keepNext/>
              <w:keepLines/>
              <w:spacing w:after="0"/>
              <w:rPr>
                <w:sz w:val="20"/>
              </w:rPr>
            </w:pPr>
            <w:r w:rsidRPr="00EE3A7D">
              <w:rPr>
                <w:sz w:val="20"/>
              </w:rPr>
              <w:t xml:space="preserve"> Self Report</w:t>
            </w:r>
            <w:r w:rsidR="00B93D94">
              <w:rPr>
                <w:sz w:val="20"/>
              </w:rPr>
              <w:t xml:space="preserve"> Approach</w:t>
            </w:r>
          </w:p>
        </w:tc>
        <w:tc>
          <w:tcPr>
            <w:tcW w:w="2250" w:type="dxa"/>
            <w:vAlign w:val="center"/>
          </w:tcPr>
          <w:p w:rsidR="00146F57" w:rsidRPr="00146F57" w:rsidRDefault="00146F57" w:rsidP="00146F57">
            <w:pPr>
              <w:tabs>
                <w:tab w:val="decimal" w:pos="1775"/>
                <w:tab w:val="decimal" w:pos="2232"/>
                <w:tab w:val="decimal" w:pos="2592"/>
              </w:tabs>
              <w:spacing w:after="0"/>
              <w:rPr>
                <w:sz w:val="20"/>
                <w:szCs w:val="16"/>
              </w:rPr>
            </w:pPr>
            <w:r w:rsidRPr="00146F57">
              <w:rPr>
                <w:sz w:val="20"/>
                <w:szCs w:val="16"/>
              </w:rPr>
              <w:t>SCE2517</w:t>
            </w:r>
            <w:r w:rsidRPr="00146F57">
              <w:rPr>
                <w:sz w:val="20"/>
                <w:szCs w:val="16"/>
              </w:rPr>
              <w:tab/>
              <w:t>47</w:t>
            </w:r>
          </w:p>
          <w:p w:rsidR="00146F57" w:rsidRPr="00146F57" w:rsidRDefault="00146F57" w:rsidP="00146F57">
            <w:pPr>
              <w:tabs>
                <w:tab w:val="decimal" w:pos="1775"/>
                <w:tab w:val="decimal" w:pos="2232"/>
                <w:tab w:val="decimal" w:pos="2588"/>
              </w:tabs>
              <w:spacing w:after="0"/>
              <w:rPr>
                <w:sz w:val="20"/>
                <w:szCs w:val="16"/>
              </w:rPr>
            </w:pPr>
            <w:r w:rsidRPr="00146F57">
              <w:rPr>
                <w:sz w:val="20"/>
                <w:szCs w:val="16"/>
              </w:rPr>
              <w:t>SDGE3010</w:t>
            </w:r>
            <w:r w:rsidRPr="00146F57">
              <w:rPr>
                <w:sz w:val="20"/>
                <w:szCs w:val="16"/>
              </w:rPr>
              <w:tab/>
              <w:t>33</w:t>
            </w:r>
          </w:p>
          <w:p w:rsidR="00146F57" w:rsidRPr="00146F57" w:rsidRDefault="00146F57" w:rsidP="00146F57">
            <w:pPr>
              <w:tabs>
                <w:tab w:val="decimal" w:pos="0"/>
                <w:tab w:val="decimal" w:pos="1775"/>
                <w:tab w:val="decimal" w:pos="2232"/>
                <w:tab w:val="decimal" w:pos="2592"/>
              </w:tabs>
              <w:spacing w:after="0"/>
              <w:rPr>
                <w:sz w:val="20"/>
                <w:szCs w:val="16"/>
              </w:rPr>
            </w:pPr>
            <w:r w:rsidRPr="00146F57">
              <w:rPr>
                <w:sz w:val="20"/>
                <w:szCs w:val="16"/>
              </w:rPr>
              <w:t>SDGE3025</w:t>
            </w:r>
            <w:r w:rsidRPr="00146F57">
              <w:rPr>
                <w:sz w:val="20"/>
                <w:szCs w:val="16"/>
              </w:rPr>
              <w:tab/>
              <w:t>27</w:t>
            </w:r>
          </w:p>
          <w:p w:rsidR="00B2276F" w:rsidRPr="00EE3A7D" w:rsidRDefault="00146F57" w:rsidP="00146F57">
            <w:pPr>
              <w:keepNext/>
              <w:keepLines/>
              <w:tabs>
                <w:tab w:val="left" w:pos="875"/>
                <w:tab w:val="decimal" w:pos="1775"/>
              </w:tabs>
              <w:spacing w:after="0"/>
              <w:rPr>
                <w:sz w:val="20"/>
              </w:rPr>
            </w:pPr>
            <w:r w:rsidRPr="00146F57">
              <w:rPr>
                <w:sz w:val="20"/>
                <w:szCs w:val="16"/>
              </w:rPr>
              <w:tab/>
              <w:t>Total:</w:t>
            </w:r>
            <w:r w:rsidRPr="00146F57">
              <w:rPr>
                <w:sz w:val="20"/>
                <w:szCs w:val="16"/>
              </w:rPr>
              <w:tab/>
              <w:t>107</w:t>
            </w:r>
          </w:p>
        </w:tc>
        <w:tc>
          <w:tcPr>
            <w:tcW w:w="1465" w:type="dxa"/>
            <w:vAlign w:val="center"/>
          </w:tcPr>
          <w:p w:rsidR="00B2276F" w:rsidRPr="00EE3A7D" w:rsidRDefault="00146F57" w:rsidP="00EE3A7D">
            <w:pPr>
              <w:keepNext/>
              <w:keepLines/>
              <w:spacing w:after="0"/>
              <w:rPr>
                <w:sz w:val="20"/>
              </w:rPr>
            </w:pPr>
            <w:r>
              <w:rPr>
                <w:sz w:val="20"/>
              </w:rPr>
              <w:t>Customized Incentives</w:t>
            </w:r>
          </w:p>
        </w:tc>
      </w:tr>
      <w:tr w:rsidR="00277449" w:rsidRPr="00EE3A7D" w:rsidTr="0031087B">
        <w:trPr>
          <w:cantSplit/>
        </w:trPr>
        <w:tc>
          <w:tcPr>
            <w:tcW w:w="1918" w:type="dxa"/>
            <w:vAlign w:val="center"/>
          </w:tcPr>
          <w:p w:rsidR="000B1D6F" w:rsidRPr="00EE3A7D" w:rsidRDefault="00B93D94" w:rsidP="00EE3A7D">
            <w:pPr>
              <w:spacing w:after="0"/>
              <w:rPr>
                <w:rFonts w:eastAsiaTheme="minorHAnsi"/>
                <w:sz w:val="20"/>
              </w:rPr>
            </w:pPr>
            <w:r w:rsidRPr="0063509F">
              <w:rPr>
                <w:rFonts w:eastAsiaTheme="minorHAnsi"/>
                <w:sz w:val="18"/>
                <w:szCs w:val="18"/>
              </w:rPr>
              <w:t>Package and Split System Air Conditioner and Heat Pump Replacements</w:t>
            </w:r>
          </w:p>
        </w:tc>
        <w:tc>
          <w:tcPr>
            <w:tcW w:w="2337" w:type="dxa"/>
            <w:vAlign w:val="center"/>
          </w:tcPr>
          <w:p w:rsidR="00B93D94" w:rsidRDefault="00B93D94" w:rsidP="00B93D94">
            <w:pPr>
              <w:keepNext/>
              <w:keepLines/>
              <w:spacing w:after="0"/>
              <w:rPr>
                <w:sz w:val="20"/>
              </w:rPr>
            </w:pPr>
            <w:r>
              <w:rPr>
                <w:sz w:val="20"/>
              </w:rPr>
              <w:t>Non-Residential</w:t>
            </w:r>
          </w:p>
          <w:p w:rsidR="000B1D6F" w:rsidRPr="00EE3A7D" w:rsidRDefault="00B93D94" w:rsidP="00B93D94">
            <w:pPr>
              <w:keepNext/>
              <w:keepLines/>
              <w:spacing w:after="0"/>
              <w:rPr>
                <w:sz w:val="20"/>
              </w:rPr>
            </w:pPr>
            <w:r>
              <w:rPr>
                <w:sz w:val="20"/>
              </w:rPr>
              <w:t>2006 – 2008</w:t>
            </w:r>
          </w:p>
        </w:tc>
        <w:tc>
          <w:tcPr>
            <w:tcW w:w="1620" w:type="dxa"/>
            <w:vAlign w:val="center"/>
          </w:tcPr>
          <w:p w:rsidR="000B1D6F" w:rsidRPr="00EE3A7D" w:rsidRDefault="000B1D6F" w:rsidP="00EE3A7D">
            <w:pPr>
              <w:keepNext/>
              <w:keepLines/>
              <w:spacing w:after="0"/>
              <w:rPr>
                <w:sz w:val="20"/>
              </w:rPr>
            </w:pPr>
            <w:r w:rsidRPr="00EE3A7D">
              <w:rPr>
                <w:sz w:val="20"/>
              </w:rPr>
              <w:t>Self Report</w:t>
            </w:r>
            <w:r w:rsidR="00B93D94">
              <w:rPr>
                <w:sz w:val="20"/>
              </w:rPr>
              <w:t xml:space="preserve"> Approach</w:t>
            </w:r>
          </w:p>
        </w:tc>
        <w:tc>
          <w:tcPr>
            <w:tcW w:w="2250" w:type="dxa"/>
            <w:vAlign w:val="center"/>
          </w:tcPr>
          <w:p w:rsidR="00277449" w:rsidRPr="00277449" w:rsidRDefault="00277449" w:rsidP="00277449">
            <w:pPr>
              <w:tabs>
                <w:tab w:val="decimal" w:pos="1775"/>
                <w:tab w:val="decimal" w:pos="2501"/>
              </w:tabs>
              <w:spacing w:after="0"/>
              <w:rPr>
                <w:sz w:val="20"/>
                <w:szCs w:val="16"/>
              </w:rPr>
            </w:pPr>
            <w:r w:rsidRPr="00277449">
              <w:rPr>
                <w:sz w:val="20"/>
                <w:szCs w:val="16"/>
              </w:rPr>
              <w:t>PGE2080</w:t>
            </w:r>
            <w:r w:rsidRPr="00277449">
              <w:rPr>
                <w:sz w:val="20"/>
                <w:szCs w:val="16"/>
              </w:rPr>
              <w:tab/>
              <w:t>10</w:t>
            </w:r>
          </w:p>
          <w:p w:rsidR="00277449" w:rsidRPr="00277449" w:rsidRDefault="00277449" w:rsidP="00277449">
            <w:pPr>
              <w:tabs>
                <w:tab w:val="decimal" w:pos="1775"/>
                <w:tab w:val="decimal" w:pos="2501"/>
              </w:tabs>
              <w:spacing w:after="0"/>
              <w:rPr>
                <w:sz w:val="20"/>
                <w:szCs w:val="16"/>
              </w:rPr>
            </w:pPr>
            <w:r w:rsidRPr="00277449">
              <w:rPr>
                <w:sz w:val="20"/>
                <w:szCs w:val="16"/>
              </w:rPr>
              <w:t>SCE2507</w:t>
            </w:r>
            <w:r w:rsidRPr="00277449">
              <w:rPr>
                <w:sz w:val="20"/>
                <w:szCs w:val="16"/>
              </w:rPr>
              <w:tab/>
              <w:t>10</w:t>
            </w:r>
          </w:p>
          <w:p w:rsidR="00277449" w:rsidRPr="00277449" w:rsidRDefault="00277449" w:rsidP="00277449">
            <w:pPr>
              <w:tabs>
                <w:tab w:val="decimal" w:pos="1775"/>
                <w:tab w:val="decimal" w:pos="2501"/>
              </w:tabs>
              <w:spacing w:after="0"/>
              <w:rPr>
                <w:sz w:val="20"/>
                <w:szCs w:val="16"/>
              </w:rPr>
            </w:pPr>
            <w:r w:rsidRPr="00277449">
              <w:rPr>
                <w:sz w:val="20"/>
                <w:szCs w:val="16"/>
              </w:rPr>
              <w:t>SDGE3029</w:t>
            </w:r>
            <w:r w:rsidRPr="00277449">
              <w:rPr>
                <w:sz w:val="20"/>
                <w:szCs w:val="16"/>
              </w:rPr>
              <w:tab/>
              <w:t>10</w:t>
            </w:r>
          </w:p>
          <w:p w:rsidR="000B1D6F" w:rsidRPr="00277449" w:rsidRDefault="00277449" w:rsidP="00277449">
            <w:pPr>
              <w:tabs>
                <w:tab w:val="left" w:pos="928"/>
                <w:tab w:val="decimal" w:pos="1775"/>
              </w:tabs>
              <w:spacing w:after="0"/>
              <w:rPr>
                <w:sz w:val="20"/>
                <w:szCs w:val="16"/>
              </w:rPr>
            </w:pPr>
            <w:r w:rsidRPr="00277449">
              <w:rPr>
                <w:sz w:val="20"/>
                <w:szCs w:val="16"/>
              </w:rPr>
              <w:tab/>
              <w:t>Total:</w:t>
            </w:r>
            <w:r w:rsidRPr="00277449">
              <w:rPr>
                <w:sz w:val="20"/>
                <w:szCs w:val="16"/>
              </w:rPr>
              <w:tab/>
              <w:t>30</w:t>
            </w:r>
          </w:p>
        </w:tc>
        <w:tc>
          <w:tcPr>
            <w:tcW w:w="1465" w:type="dxa"/>
            <w:vAlign w:val="center"/>
          </w:tcPr>
          <w:p w:rsidR="000B1D6F" w:rsidRPr="00EE3A7D" w:rsidRDefault="00277449" w:rsidP="00EE3A7D">
            <w:pPr>
              <w:keepNext/>
              <w:keepLines/>
              <w:spacing w:after="0"/>
              <w:rPr>
                <w:rFonts w:ascii="Direct Install" w:hAnsi="Direct Install"/>
                <w:sz w:val="20"/>
              </w:rPr>
            </w:pPr>
            <w:r>
              <w:rPr>
                <w:rFonts w:ascii="Direct Install" w:hAnsi="Direct Install"/>
                <w:sz w:val="20"/>
              </w:rPr>
              <w:t>Upstream</w:t>
            </w:r>
          </w:p>
        </w:tc>
      </w:tr>
    </w:tbl>
    <w:p w:rsidR="00B253DF" w:rsidRDefault="00FA455B" w:rsidP="00B253DF">
      <w:pPr>
        <w:pStyle w:val="Heading2"/>
        <w:rPr>
          <w:rFonts w:eastAsiaTheme="minorHAnsi"/>
        </w:rPr>
      </w:pPr>
      <w:r>
        <w:rPr>
          <w:rFonts w:eastAsiaTheme="minorHAnsi"/>
        </w:rPr>
        <w:t xml:space="preserve">Recommended </w:t>
      </w:r>
      <w:r w:rsidR="007C3DE2">
        <w:rPr>
          <w:rFonts w:eastAsiaTheme="minorHAnsi"/>
        </w:rPr>
        <w:t xml:space="preserve">2011 DEER Updates to </w:t>
      </w:r>
      <w:r w:rsidR="00656524">
        <w:rPr>
          <w:rFonts w:eastAsiaTheme="minorHAnsi"/>
        </w:rPr>
        <w:t xml:space="preserve">the </w:t>
      </w:r>
      <w:r w:rsidR="007C3DE2">
        <w:rPr>
          <w:rFonts w:eastAsiaTheme="minorHAnsi"/>
        </w:rPr>
        <w:t>NTGR Values</w:t>
      </w:r>
    </w:p>
    <w:p w:rsidR="00B253DF" w:rsidRDefault="00835EC2" w:rsidP="00B253DF">
      <w:pPr>
        <w:rPr>
          <w:rFonts w:eastAsiaTheme="minorHAnsi"/>
        </w:rPr>
      </w:pPr>
      <w:r w:rsidRPr="004211B7">
        <w:rPr>
          <w:rFonts w:eastAsiaTheme="minorHAnsi"/>
        </w:rPr>
        <w:t>Overall</w:t>
      </w:r>
      <w:r>
        <w:rPr>
          <w:rFonts w:eastAsiaTheme="minorHAnsi"/>
        </w:rPr>
        <w:t>,</w:t>
      </w:r>
      <w:r w:rsidRPr="004211B7">
        <w:rPr>
          <w:rFonts w:eastAsiaTheme="minorHAnsi"/>
        </w:rPr>
        <w:t xml:space="preserve"> the </w:t>
      </w:r>
      <w:r w:rsidR="00AB7326">
        <w:rPr>
          <w:rFonts w:eastAsiaTheme="minorHAnsi"/>
        </w:rPr>
        <w:t>DEER</w:t>
      </w:r>
      <w:r>
        <w:rPr>
          <w:rFonts w:eastAsiaTheme="minorHAnsi"/>
        </w:rPr>
        <w:t xml:space="preserve"> </w:t>
      </w:r>
      <w:r w:rsidRPr="004211B7">
        <w:rPr>
          <w:rFonts w:eastAsiaTheme="minorHAnsi"/>
        </w:rPr>
        <w:t>team f</w:t>
      </w:r>
      <w:r>
        <w:rPr>
          <w:rFonts w:eastAsiaTheme="minorHAnsi"/>
        </w:rPr>
        <w:t xml:space="preserve">ound </w:t>
      </w:r>
      <w:r w:rsidRPr="004211B7">
        <w:rPr>
          <w:rFonts w:eastAsiaTheme="minorHAnsi"/>
        </w:rPr>
        <w:t>that the most recent evaluation</w:t>
      </w:r>
      <w:r>
        <w:rPr>
          <w:rFonts w:eastAsiaTheme="minorHAnsi"/>
        </w:rPr>
        <w:t>s</w:t>
      </w:r>
      <w:r w:rsidRPr="004211B7">
        <w:rPr>
          <w:rFonts w:eastAsiaTheme="minorHAnsi"/>
        </w:rPr>
        <w:t xml:space="preserve"> </w:t>
      </w:r>
      <w:r>
        <w:rPr>
          <w:rFonts w:eastAsiaTheme="minorHAnsi"/>
        </w:rPr>
        <w:t>had larger sample sizes and improved evaluation methods over the 2004 – 2005 studies that were used in the 2008</w:t>
      </w:r>
      <w:r w:rsidRPr="004211B7">
        <w:rPr>
          <w:rFonts w:eastAsiaTheme="minorHAnsi"/>
        </w:rPr>
        <w:t xml:space="preserve"> DEER </w:t>
      </w:r>
      <w:r>
        <w:rPr>
          <w:rFonts w:eastAsiaTheme="minorHAnsi"/>
        </w:rPr>
        <w:t xml:space="preserve">updates.  </w:t>
      </w:r>
      <w:r w:rsidRPr="004211B7">
        <w:rPr>
          <w:rFonts w:eastAsiaTheme="minorHAnsi"/>
        </w:rPr>
        <w:t>Accordingly</w:t>
      </w:r>
      <w:r>
        <w:rPr>
          <w:rFonts w:eastAsiaTheme="minorHAnsi"/>
        </w:rPr>
        <w:t>,</w:t>
      </w:r>
      <w:r w:rsidRPr="004211B7">
        <w:rPr>
          <w:rFonts w:eastAsiaTheme="minorHAnsi"/>
        </w:rPr>
        <w:t xml:space="preserve"> we recommend us</w:t>
      </w:r>
      <w:r w:rsidR="00701BEA">
        <w:rPr>
          <w:rFonts w:eastAsiaTheme="minorHAnsi"/>
        </w:rPr>
        <w:t>ing</w:t>
      </w:r>
      <w:r w:rsidRPr="004211B7">
        <w:rPr>
          <w:rFonts w:eastAsiaTheme="minorHAnsi"/>
        </w:rPr>
        <w:t xml:space="preserve"> the </w:t>
      </w:r>
      <w:r>
        <w:rPr>
          <w:rFonts w:eastAsiaTheme="minorHAnsi"/>
        </w:rPr>
        <w:t xml:space="preserve">statewide weighted average NTGR </w:t>
      </w:r>
      <w:r w:rsidRPr="004211B7">
        <w:rPr>
          <w:rFonts w:eastAsiaTheme="minorHAnsi"/>
        </w:rPr>
        <w:t xml:space="preserve">values </w:t>
      </w:r>
      <w:r>
        <w:rPr>
          <w:rFonts w:eastAsiaTheme="minorHAnsi"/>
        </w:rPr>
        <w:t>the team has derived and summarized</w:t>
      </w:r>
      <w:r w:rsidR="00701BEA">
        <w:rPr>
          <w:rFonts w:eastAsiaTheme="minorHAnsi"/>
        </w:rPr>
        <w:t xml:space="preserve"> in</w:t>
      </w:r>
      <w:r>
        <w:rPr>
          <w:rFonts w:eastAsiaTheme="minorHAnsi"/>
        </w:rPr>
        <w:t xml:space="preserve"> </w:t>
      </w:r>
      <w:r w:rsidR="0051453E">
        <w:rPr>
          <w:rFonts w:eastAsiaTheme="minorHAnsi"/>
        </w:rPr>
        <w:fldChar w:fldCharType="begin"/>
      </w:r>
      <w:r>
        <w:rPr>
          <w:rFonts w:eastAsiaTheme="minorHAnsi"/>
        </w:rPr>
        <w:instrText xml:space="preserve"> REF _Ref305704678 \h </w:instrText>
      </w:r>
      <w:r w:rsidR="0051453E">
        <w:rPr>
          <w:rFonts w:eastAsiaTheme="minorHAnsi"/>
        </w:rPr>
      </w:r>
      <w:r w:rsidR="0051453E">
        <w:rPr>
          <w:rFonts w:eastAsiaTheme="minorHAnsi"/>
        </w:rPr>
        <w:fldChar w:fldCharType="separate"/>
      </w:r>
      <w:r w:rsidR="005372DA">
        <w:t xml:space="preserve">Table </w:t>
      </w:r>
      <w:r w:rsidR="005372DA">
        <w:rPr>
          <w:noProof/>
        </w:rPr>
        <w:t>10</w:t>
      </w:r>
      <w:r w:rsidR="005372DA">
        <w:noBreakHyphen/>
      </w:r>
      <w:r w:rsidR="005372DA">
        <w:rPr>
          <w:noProof/>
        </w:rPr>
        <w:t>6</w:t>
      </w:r>
      <w:r w:rsidR="0051453E">
        <w:rPr>
          <w:rFonts w:eastAsiaTheme="minorHAnsi"/>
        </w:rPr>
        <w:fldChar w:fldCharType="end"/>
      </w:r>
      <w:r w:rsidRPr="004211B7">
        <w:rPr>
          <w:rFonts w:eastAsiaTheme="minorHAnsi"/>
        </w:rPr>
        <w:t>.</w:t>
      </w:r>
      <w:r>
        <w:rPr>
          <w:rFonts w:eastAsiaTheme="minorHAnsi"/>
        </w:rPr>
        <w:t xml:space="preserve">  </w:t>
      </w:r>
      <w:r w:rsidR="00301ECA">
        <w:rPr>
          <w:rFonts w:eastAsiaTheme="minorHAnsi"/>
        </w:rPr>
        <w:t xml:space="preserve">The values were </w:t>
      </w:r>
      <w:r w:rsidR="00701BEA">
        <w:rPr>
          <w:rFonts w:eastAsiaTheme="minorHAnsi"/>
        </w:rPr>
        <w:t xml:space="preserve">derived </w:t>
      </w:r>
      <w:r w:rsidR="00301ECA">
        <w:rPr>
          <w:rFonts w:eastAsiaTheme="minorHAnsi"/>
        </w:rPr>
        <w:t xml:space="preserve">through weight averaging the utility </w:t>
      </w:r>
      <w:r w:rsidR="00B24CB2">
        <w:rPr>
          <w:rFonts w:eastAsiaTheme="minorHAnsi"/>
        </w:rPr>
        <w:t xml:space="preserve">level </w:t>
      </w:r>
      <w:r w:rsidR="00301ECA">
        <w:rPr>
          <w:rFonts w:eastAsiaTheme="minorHAnsi"/>
        </w:rPr>
        <w:t>estimates</w:t>
      </w:r>
      <w:r w:rsidR="00B24CB2">
        <w:rPr>
          <w:rFonts w:eastAsiaTheme="minorHAnsi"/>
        </w:rPr>
        <w:t>, using ex post energy savings and peak demand reduction,</w:t>
      </w:r>
      <w:r w:rsidR="00301ECA">
        <w:rPr>
          <w:rFonts w:eastAsiaTheme="minorHAnsi"/>
        </w:rPr>
        <w:t xml:space="preserve"> to arrive at statewide recommended values.  The analyst’s data collection notes are in Appendix A</w:t>
      </w:r>
      <w:r w:rsidR="00292C2E">
        <w:rPr>
          <w:rFonts w:eastAsiaTheme="minorHAnsi"/>
        </w:rPr>
        <w:t>-3.1</w:t>
      </w:r>
      <w:r w:rsidR="00301ECA">
        <w:rPr>
          <w:rFonts w:eastAsiaTheme="minorHAnsi"/>
        </w:rPr>
        <w:t xml:space="preserve"> for ea</w:t>
      </w:r>
      <w:r w:rsidR="00292C2E">
        <w:rPr>
          <w:rFonts w:eastAsiaTheme="minorHAnsi"/>
        </w:rPr>
        <w:t>ch recommendation and Appendix A-3.2</w:t>
      </w:r>
      <w:r w:rsidR="00301ECA">
        <w:rPr>
          <w:rFonts w:eastAsiaTheme="minorHAnsi"/>
        </w:rPr>
        <w:t xml:space="preserve"> provides the </w:t>
      </w:r>
      <w:r w:rsidR="00714D3B">
        <w:rPr>
          <w:rFonts w:eastAsiaTheme="minorHAnsi"/>
        </w:rPr>
        <w:t xml:space="preserve">embedded </w:t>
      </w:r>
      <w:r w:rsidR="00301ECA">
        <w:rPr>
          <w:rFonts w:eastAsiaTheme="minorHAnsi"/>
        </w:rPr>
        <w:t>spreadsheet calculations that derived the recommended statewide averages.</w:t>
      </w:r>
      <w:r w:rsidR="00714D3B">
        <w:rPr>
          <w:rStyle w:val="FootnoteReference"/>
          <w:rFonts w:eastAsiaTheme="minorHAnsi"/>
        </w:rPr>
        <w:footnoteReference w:id="12"/>
      </w:r>
      <w:r w:rsidR="00301ECA">
        <w:rPr>
          <w:rFonts w:eastAsiaTheme="minorHAnsi"/>
        </w:rPr>
        <w:t xml:space="preserve"> </w:t>
      </w:r>
    </w:p>
    <w:p w:rsidR="00312DEB" w:rsidRDefault="00312DEB">
      <w:pPr>
        <w:spacing w:after="130"/>
        <w:ind w:left="720" w:hanging="432"/>
        <w:rPr>
          <w:rFonts w:eastAsiaTheme="minorHAnsi"/>
        </w:rPr>
      </w:pPr>
      <w:r>
        <w:rPr>
          <w:rFonts w:eastAsiaTheme="minorHAnsi"/>
        </w:rPr>
        <w:br w:type="page"/>
      </w:r>
    </w:p>
    <w:p w:rsidR="009E5092" w:rsidRDefault="00197A2E" w:rsidP="00661EC5">
      <w:pPr>
        <w:pStyle w:val="Caption"/>
      </w:pPr>
      <w:bookmarkStart w:id="4" w:name="_Ref305704678"/>
      <w:bookmarkStart w:id="5" w:name="_Ref305949359"/>
      <w:bookmarkStart w:id="6" w:name="_Ref305592463"/>
      <w:r>
        <w:lastRenderedPageBreak/>
        <w:t xml:space="preserve">Table </w:t>
      </w:r>
      <w:fldSimple w:instr=" STYLEREF 1 \s ">
        <w:r w:rsidR="005372DA">
          <w:rPr>
            <w:noProof/>
          </w:rPr>
          <w:t>10</w:t>
        </w:r>
      </w:fldSimple>
      <w:r w:rsidR="00B70D42">
        <w:noBreakHyphen/>
      </w:r>
      <w:fldSimple w:instr=" SEQ Table \* ARABIC \s 1 ">
        <w:r w:rsidR="005372DA">
          <w:rPr>
            <w:noProof/>
          </w:rPr>
          <w:t>6</w:t>
        </w:r>
      </w:fldSimple>
      <w:bookmarkEnd w:id="4"/>
      <w:r>
        <w:t>:  Re</w:t>
      </w:r>
      <w:r w:rsidR="00F35612">
        <w:t>commended NTGR by M</w:t>
      </w:r>
      <w:r>
        <w:t xml:space="preserve">easure and </w:t>
      </w:r>
      <w:r w:rsidR="00F35612">
        <w:t>D</w:t>
      </w:r>
      <w:r>
        <w:t xml:space="preserve">elivery </w:t>
      </w:r>
      <w:r w:rsidR="00F35612">
        <w:t>M</w:t>
      </w:r>
      <w:r>
        <w:t>ethod</w:t>
      </w:r>
      <w:bookmarkEnd w:id="5"/>
    </w:p>
    <w:tbl>
      <w:tblPr>
        <w:tblStyle w:val="ItronBasic"/>
        <w:tblW w:w="9590" w:type="dxa"/>
        <w:tblCellMar>
          <w:left w:w="115" w:type="dxa"/>
          <w:right w:w="115" w:type="dxa"/>
        </w:tblCellMar>
        <w:tblLook w:val="04A0"/>
      </w:tblPr>
      <w:tblGrid>
        <w:gridCol w:w="1461"/>
        <w:gridCol w:w="1790"/>
        <w:gridCol w:w="1550"/>
        <w:gridCol w:w="1384"/>
        <w:gridCol w:w="1422"/>
        <w:gridCol w:w="1983"/>
      </w:tblGrid>
      <w:tr w:rsidR="00197A2E" w:rsidTr="007C3DE2">
        <w:trPr>
          <w:cnfStyle w:val="100000000000"/>
          <w:tblHeader/>
        </w:trPr>
        <w:tc>
          <w:tcPr>
            <w:tcW w:w="1461" w:type="dxa"/>
            <w:shd w:val="pct20" w:color="auto" w:fill="auto"/>
            <w:vAlign w:val="center"/>
          </w:tcPr>
          <w:p w:rsidR="00197A2E" w:rsidRDefault="00197A2E" w:rsidP="00F35612">
            <w:pPr>
              <w:spacing w:before="120" w:after="120"/>
              <w:jc w:val="center"/>
              <w:rPr>
                <w:rFonts w:eastAsiaTheme="minorHAnsi"/>
              </w:rPr>
            </w:pPr>
            <w:r>
              <w:rPr>
                <w:rFonts w:eastAsiaTheme="minorHAnsi"/>
              </w:rPr>
              <w:t>EEM</w:t>
            </w:r>
          </w:p>
        </w:tc>
        <w:tc>
          <w:tcPr>
            <w:tcW w:w="1790" w:type="dxa"/>
            <w:shd w:val="pct20" w:color="auto" w:fill="auto"/>
            <w:vAlign w:val="center"/>
          </w:tcPr>
          <w:p w:rsidR="00197A2E" w:rsidRDefault="00F35612" w:rsidP="00F35612">
            <w:pPr>
              <w:spacing w:before="120" w:after="120"/>
              <w:jc w:val="center"/>
              <w:rPr>
                <w:rFonts w:eastAsiaTheme="minorHAnsi"/>
              </w:rPr>
            </w:pPr>
            <w:r>
              <w:rPr>
                <w:rFonts w:eastAsiaTheme="minorHAnsi"/>
              </w:rPr>
              <w:t>EEM C</w:t>
            </w:r>
            <w:r w:rsidR="00197A2E">
              <w:rPr>
                <w:rFonts w:eastAsiaTheme="minorHAnsi"/>
              </w:rPr>
              <w:t>haracteristics</w:t>
            </w:r>
          </w:p>
        </w:tc>
        <w:tc>
          <w:tcPr>
            <w:tcW w:w="1550" w:type="dxa"/>
            <w:shd w:val="pct20" w:color="auto" w:fill="auto"/>
            <w:vAlign w:val="center"/>
          </w:tcPr>
          <w:p w:rsidR="00197A2E" w:rsidRDefault="00197A2E" w:rsidP="00F35612">
            <w:pPr>
              <w:spacing w:before="120" w:after="120"/>
              <w:jc w:val="center"/>
              <w:rPr>
                <w:rFonts w:eastAsiaTheme="minorHAnsi"/>
              </w:rPr>
            </w:pPr>
            <w:r>
              <w:rPr>
                <w:rFonts w:eastAsiaTheme="minorHAnsi"/>
              </w:rPr>
              <w:t xml:space="preserve">Delivery </w:t>
            </w:r>
            <w:r w:rsidR="00F35612">
              <w:rPr>
                <w:rFonts w:eastAsiaTheme="minorHAnsi"/>
              </w:rPr>
              <w:t>M</w:t>
            </w:r>
            <w:r>
              <w:rPr>
                <w:rFonts w:eastAsiaTheme="minorHAnsi"/>
              </w:rPr>
              <w:t>echanism</w:t>
            </w:r>
          </w:p>
        </w:tc>
        <w:tc>
          <w:tcPr>
            <w:tcW w:w="1384" w:type="dxa"/>
            <w:shd w:val="pct20" w:color="auto" w:fill="auto"/>
            <w:vAlign w:val="center"/>
          </w:tcPr>
          <w:p w:rsidR="00197A2E" w:rsidRDefault="00197A2E" w:rsidP="00F35612">
            <w:pPr>
              <w:spacing w:before="120" w:after="120"/>
              <w:jc w:val="center"/>
              <w:rPr>
                <w:rFonts w:eastAsiaTheme="minorHAnsi"/>
              </w:rPr>
            </w:pPr>
            <w:r>
              <w:rPr>
                <w:rFonts w:eastAsiaTheme="minorHAnsi"/>
              </w:rPr>
              <w:t xml:space="preserve">Applicable </w:t>
            </w:r>
            <w:r w:rsidR="00F35612">
              <w:rPr>
                <w:rFonts w:eastAsiaTheme="minorHAnsi"/>
              </w:rPr>
              <w:t>S</w:t>
            </w:r>
            <w:r>
              <w:rPr>
                <w:rFonts w:eastAsiaTheme="minorHAnsi"/>
              </w:rPr>
              <w:t xml:space="preserve">ector and </w:t>
            </w:r>
            <w:r w:rsidR="00F35612">
              <w:rPr>
                <w:rFonts w:eastAsiaTheme="minorHAnsi"/>
              </w:rPr>
              <w:t>B</w:t>
            </w:r>
            <w:r>
              <w:rPr>
                <w:rFonts w:eastAsiaTheme="minorHAnsi"/>
              </w:rPr>
              <w:t xml:space="preserve">uilding </w:t>
            </w:r>
            <w:r w:rsidR="00F35612">
              <w:rPr>
                <w:rFonts w:eastAsiaTheme="minorHAnsi"/>
              </w:rPr>
              <w:t>T</w:t>
            </w:r>
            <w:r>
              <w:rPr>
                <w:rFonts w:eastAsiaTheme="minorHAnsi"/>
              </w:rPr>
              <w:t>ypes</w:t>
            </w:r>
          </w:p>
        </w:tc>
        <w:tc>
          <w:tcPr>
            <w:tcW w:w="1422" w:type="dxa"/>
            <w:shd w:val="pct20" w:color="auto" w:fill="auto"/>
            <w:vAlign w:val="center"/>
          </w:tcPr>
          <w:p w:rsidR="00197A2E" w:rsidRDefault="00197A2E" w:rsidP="00F35612">
            <w:pPr>
              <w:spacing w:before="120" w:after="120"/>
              <w:jc w:val="center"/>
              <w:rPr>
                <w:rFonts w:eastAsiaTheme="minorHAnsi"/>
              </w:rPr>
            </w:pPr>
            <w:r>
              <w:rPr>
                <w:rFonts w:eastAsiaTheme="minorHAnsi"/>
              </w:rPr>
              <w:t xml:space="preserve">Utility Specific or </w:t>
            </w:r>
            <w:r w:rsidR="00F35612">
              <w:rPr>
                <w:rFonts w:eastAsiaTheme="minorHAnsi"/>
              </w:rPr>
              <w:t>S</w:t>
            </w:r>
            <w:r>
              <w:rPr>
                <w:rFonts w:eastAsiaTheme="minorHAnsi"/>
              </w:rPr>
              <w:t>tatewide NTGR</w:t>
            </w:r>
          </w:p>
        </w:tc>
        <w:tc>
          <w:tcPr>
            <w:tcW w:w="1983" w:type="dxa"/>
            <w:shd w:val="pct20" w:color="auto" w:fill="auto"/>
            <w:vAlign w:val="center"/>
          </w:tcPr>
          <w:p w:rsidR="00197A2E" w:rsidRDefault="00F35612" w:rsidP="00F35612">
            <w:pPr>
              <w:spacing w:before="120" w:after="120"/>
              <w:jc w:val="center"/>
              <w:rPr>
                <w:rFonts w:eastAsiaTheme="minorHAnsi"/>
              </w:rPr>
            </w:pPr>
            <w:r>
              <w:rPr>
                <w:rFonts w:eastAsiaTheme="minorHAnsi"/>
              </w:rPr>
              <w:t>Recommended NTGR V</w:t>
            </w:r>
            <w:r w:rsidR="00197A2E">
              <w:rPr>
                <w:rFonts w:eastAsiaTheme="minorHAnsi"/>
              </w:rPr>
              <w:t>alue</w:t>
            </w:r>
            <w:r>
              <w:rPr>
                <w:rFonts w:eastAsiaTheme="minorHAnsi"/>
              </w:rPr>
              <w:t>s</w:t>
            </w:r>
          </w:p>
        </w:tc>
      </w:tr>
      <w:tr w:rsidR="00197A2E" w:rsidRPr="0071570C" w:rsidTr="00301ECA">
        <w:trPr>
          <w:cantSplit/>
        </w:trPr>
        <w:tc>
          <w:tcPr>
            <w:tcW w:w="1461" w:type="dxa"/>
            <w:vAlign w:val="center"/>
          </w:tcPr>
          <w:p w:rsidR="00197A2E" w:rsidRPr="0071570C" w:rsidRDefault="0071570C" w:rsidP="0071570C">
            <w:pPr>
              <w:spacing w:after="0"/>
              <w:rPr>
                <w:rFonts w:eastAsiaTheme="minorHAnsi"/>
                <w:sz w:val="20"/>
                <w:szCs w:val="20"/>
              </w:rPr>
            </w:pPr>
            <w:r w:rsidRPr="0071570C">
              <w:rPr>
                <w:sz w:val="20"/>
                <w:szCs w:val="16"/>
              </w:rPr>
              <w:t>HVAC Maintenance: Refrigerant Charge Adjustment</w:t>
            </w:r>
          </w:p>
        </w:tc>
        <w:tc>
          <w:tcPr>
            <w:tcW w:w="1790" w:type="dxa"/>
            <w:vAlign w:val="center"/>
          </w:tcPr>
          <w:p w:rsidR="00197A2E" w:rsidRPr="0071570C" w:rsidRDefault="0071570C" w:rsidP="0071570C">
            <w:pPr>
              <w:spacing w:after="0"/>
              <w:jc w:val="center"/>
              <w:rPr>
                <w:rFonts w:eastAsiaTheme="minorHAnsi"/>
                <w:sz w:val="20"/>
                <w:szCs w:val="20"/>
              </w:rPr>
            </w:pPr>
            <w:r>
              <w:rPr>
                <w:rFonts w:eastAsiaTheme="minorHAnsi"/>
                <w:sz w:val="20"/>
                <w:szCs w:val="20"/>
              </w:rPr>
              <w:t>n/a</w:t>
            </w:r>
          </w:p>
        </w:tc>
        <w:tc>
          <w:tcPr>
            <w:tcW w:w="1550" w:type="dxa"/>
            <w:vAlign w:val="center"/>
          </w:tcPr>
          <w:p w:rsidR="00197A2E" w:rsidRPr="0071570C" w:rsidRDefault="0071570C" w:rsidP="0071570C">
            <w:pPr>
              <w:spacing w:after="0"/>
              <w:rPr>
                <w:rFonts w:eastAsiaTheme="minorHAnsi"/>
                <w:sz w:val="20"/>
                <w:szCs w:val="20"/>
              </w:rPr>
            </w:pPr>
            <w:r>
              <w:rPr>
                <w:rFonts w:eastAsiaTheme="minorHAnsi"/>
                <w:sz w:val="20"/>
                <w:szCs w:val="20"/>
              </w:rPr>
              <w:t>Midstream</w:t>
            </w:r>
          </w:p>
        </w:tc>
        <w:tc>
          <w:tcPr>
            <w:tcW w:w="1384" w:type="dxa"/>
            <w:vAlign w:val="center"/>
          </w:tcPr>
          <w:p w:rsidR="00197A2E" w:rsidRPr="0071570C" w:rsidRDefault="0071570C" w:rsidP="0071570C">
            <w:pPr>
              <w:spacing w:after="0"/>
              <w:rPr>
                <w:rFonts w:eastAsiaTheme="minorHAnsi"/>
                <w:sz w:val="20"/>
                <w:szCs w:val="20"/>
              </w:rPr>
            </w:pPr>
            <w:r>
              <w:rPr>
                <w:rFonts w:eastAsiaTheme="minorHAnsi"/>
                <w:sz w:val="20"/>
                <w:szCs w:val="20"/>
              </w:rPr>
              <w:t>Commercial, All Building Types</w:t>
            </w:r>
          </w:p>
        </w:tc>
        <w:tc>
          <w:tcPr>
            <w:tcW w:w="1422" w:type="dxa"/>
            <w:vAlign w:val="center"/>
          </w:tcPr>
          <w:p w:rsidR="00197A2E" w:rsidRPr="0071570C" w:rsidRDefault="0071570C" w:rsidP="007C3DE2">
            <w:pPr>
              <w:spacing w:after="0"/>
              <w:jc w:val="center"/>
              <w:rPr>
                <w:rFonts w:eastAsiaTheme="minorHAnsi"/>
                <w:sz w:val="20"/>
                <w:szCs w:val="20"/>
              </w:rPr>
            </w:pPr>
            <w:r>
              <w:rPr>
                <w:rFonts w:eastAsiaTheme="minorHAnsi"/>
                <w:sz w:val="20"/>
                <w:szCs w:val="20"/>
              </w:rPr>
              <w:t>Statewide</w:t>
            </w:r>
          </w:p>
        </w:tc>
        <w:tc>
          <w:tcPr>
            <w:tcW w:w="1983" w:type="dxa"/>
            <w:vAlign w:val="center"/>
          </w:tcPr>
          <w:p w:rsidR="00197A2E" w:rsidRPr="0071570C" w:rsidRDefault="0071570C" w:rsidP="0071570C">
            <w:pPr>
              <w:spacing w:after="0"/>
              <w:jc w:val="center"/>
              <w:rPr>
                <w:rFonts w:eastAsiaTheme="minorHAnsi"/>
                <w:sz w:val="20"/>
                <w:szCs w:val="20"/>
              </w:rPr>
            </w:pPr>
            <w:r>
              <w:rPr>
                <w:rFonts w:eastAsiaTheme="minorHAnsi"/>
                <w:sz w:val="20"/>
                <w:szCs w:val="20"/>
              </w:rPr>
              <w:t>0.73</w:t>
            </w:r>
          </w:p>
        </w:tc>
      </w:tr>
      <w:tr w:rsidR="00197A2E" w:rsidRPr="0071570C" w:rsidTr="00301ECA">
        <w:trPr>
          <w:cantSplit/>
        </w:trPr>
        <w:tc>
          <w:tcPr>
            <w:tcW w:w="1461" w:type="dxa"/>
            <w:vAlign w:val="center"/>
          </w:tcPr>
          <w:p w:rsidR="00197A2E" w:rsidRPr="0071570C" w:rsidRDefault="0071570C" w:rsidP="0071570C">
            <w:pPr>
              <w:spacing w:after="0"/>
              <w:rPr>
                <w:rFonts w:eastAsiaTheme="minorHAnsi"/>
                <w:sz w:val="20"/>
                <w:szCs w:val="20"/>
              </w:rPr>
            </w:pPr>
            <w:r w:rsidRPr="0071570C">
              <w:rPr>
                <w:sz w:val="20"/>
                <w:szCs w:val="16"/>
              </w:rPr>
              <w:t>RCx Packages</w:t>
            </w:r>
          </w:p>
        </w:tc>
        <w:tc>
          <w:tcPr>
            <w:tcW w:w="1790" w:type="dxa"/>
            <w:vAlign w:val="center"/>
          </w:tcPr>
          <w:p w:rsidR="00197A2E" w:rsidRPr="0071570C" w:rsidRDefault="0071570C" w:rsidP="0071570C">
            <w:pPr>
              <w:spacing w:after="0"/>
              <w:jc w:val="center"/>
              <w:rPr>
                <w:rFonts w:eastAsiaTheme="minorHAnsi"/>
                <w:sz w:val="20"/>
                <w:szCs w:val="20"/>
              </w:rPr>
            </w:pPr>
            <w:r>
              <w:rPr>
                <w:rFonts w:eastAsiaTheme="minorHAnsi"/>
                <w:sz w:val="20"/>
                <w:szCs w:val="20"/>
              </w:rPr>
              <w:t>n/a</w:t>
            </w:r>
          </w:p>
        </w:tc>
        <w:tc>
          <w:tcPr>
            <w:tcW w:w="1550" w:type="dxa"/>
            <w:vAlign w:val="center"/>
          </w:tcPr>
          <w:p w:rsidR="00197A2E" w:rsidRPr="0071570C" w:rsidRDefault="0071570C" w:rsidP="0071570C">
            <w:pPr>
              <w:spacing w:after="0"/>
              <w:rPr>
                <w:rFonts w:eastAsiaTheme="minorHAnsi"/>
                <w:sz w:val="20"/>
                <w:szCs w:val="20"/>
              </w:rPr>
            </w:pPr>
            <w:r>
              <w:rPr>
                <w:rFonts w:eastAsiaTheme="minorHAnsi"/>
                <w:sz w:val="20"/>
                <w:szCs w:val="20"/>
              </w:rPr>
              <w:t>Customized Incentives, Downstream</w:t>
            </w:r>
          </w:p>
        </w:tc>
        <w:tc>
          <w:tcPr>
            <w:tcW w:w="1384" w:type="dxa"/>
            <w:vAlign w:val="center"/>
          </w:tcPr>
          <w:p w:rsidR="00197A2E" w:rsidRPr="0071570C" w:rsidRDefault="0071570C" w:rsidP="0071570C">
            <w:pPr>
              <w:spacing w:after="0"/>
              <w:rPr>
                <w:rFonts w:eastAsiaTheme="minorHAnsi"/>
                <w:sz w:val="20"/>
                <w:szCs w:val="20"/>
              </w:rPr>
            </w:pPr>
            <w:r>
              <w:rPr>
                <w:rFonts w:eastAsiaTheme="minorHAnsi"/>
                <w:sz w:val="20"/>
                <w:szCs w:val="20"/>
              </w:rPr>
              <w:t>Commercial, All Building Types</w:t>
            </w:r>
          </w:p>
        </w:tc>
        <w:tc>
          <w:tcPr>
            <w:tcW w:w="1422" w:type="dxa"/>
            <w:vAlign w:val="center"/>
          </w:tcPr>
          <w:p w:rsidR="00197A2E" w:rsidRPr="0071570C" w:rsidRDefault="0071570C" w:rsidP="007C3DE2">
            <w:pPr>
              <w:keepNext/>
              <w:keepLines/>
              <w:spacing w:after="0"/>
              <w:jc w:val="center"/>
              <w:rPr>
                <w:sz w:val="20"/>
                <w:szCs w:val="20"/>
              </w:rPr>
            </w:pPr>
            <w:r>
              <w:rPr>
                <w:sz w:val="20"/>
                <w:szCs w:val="20"/>
              </w:rPr>
              <w:t>Statewide</w:t>
            </w:r>
          </w:p>
        </w:tc>
        <w:tc>
          <w:tcPr>
            <w:tcW w:w="1983" w:type="dxa"/>
            <w:vAlign w:val="center"/>
          </w:tcPr>
          <w:p w:rsidR="00197A2E" w:rsidRDefault="0071570C" w:rsidP="0071570C">
            <w:pPr>
              <w:keepNext/>
              <w:keepLines/>
              <w:spacing w:after="0"/>
              <w:rPr>
                <w:sz w:val="20"/>
                <w:szCs w:val="20"/>
              </w:rPr>
            </w:pPr>
            <w:r>
              <w:rPr>
                <w:sz w:val="20"/>
                <w:szCs w:val="20"/>
              </w:rPr>
              <w:t>0.80 for Electric,</w:t>
            </w:r>
          </w:p>
          <w:p w:rsidR="0071570C" w:rsidRPr="0071570C" w:rsidRDefault="0071570C" w:rsidP="0071570C">
            <w:pPr>
              <w:keepNext/>
              <w:keepLines/>
              <w:spacing w:after="0"/>
              <w:rPr>
                <w:sz w:val="20"/>
                <w:szCs w:val="20"/>
              </w:rPr>
            </w:pPr>
            <w:r>
              <w:rPr>
                <w:sz w:val="20"/>
                <w:szCs w:val="20"/>
              </w:rPr>
              <w:t>0.82 for Nat. Gas</w:t>
            </w:r>
          </w:p>
        </w:tc>
      </w:tr>
      <w:tr w:rsidR="00197A2E" w:rsidRPr="0071570C" w:rsidTr="00301ECA">
        <w:trPr>
          <w:cantSplit/>
        </w:trPr>
        <w:tc>
          <w:tcPr>
            <w:tcW w:w="1461" w:type="dxa"/>
            <w:vAlign w:val="center"/>
          </w:tcPr>
          <w:p w:rsidR="00197A2E" w:rsidRPr="0071570C" w:rsidRDefault="0071570C" w:rsidP="0071570C">
            <w:pPr>
              <w:spacing w:after="0"/>
              <w:rPr>
                <w:rFonts w:eastAsiaTheme="minorHAnsi"/>
                <w:sz w:val="20"/>
                <w:szCs w:val="20"/>
              </w:rPr>
            </w:pPr>
            <w:r>
              <w:rPr>
                <w:rFonts w:eastAsiaTheme="minorHAnsi"/>
                <w:sz w:val="20"/>
                <w:szCs w:val="20"/>
              </w:rPr>
              <w:t>Chiller Replacements</w:t>
            </w:r>
          </w:p>
        </w:tc>
        <w:tc>
          <w:tcPr>
            <w:tcW w:w="1790" w:type="dxa"/>
            <w:vAlign w:val="center"/>
          </w:tcPr>
          <w:p w:rsidR="00197A2E" w:rsidRPr="0071570C" w:rsidRDefault="0071570C" w:rsidP="0071570C">
            <w:pPr>
              <w:keepNext/>
              <w:keepLines/>
              <w:spacing w:after="0"/>
              <w:rPr>
                <w:sz w:val="20"/>
                <w:szCs w:val="20"/>
              </w:rPr>
            </w:pPr>
            <w:r>
              <w:rPr>
                <w:sz w:val="20"/>
                <w:szCs w:val="20"/>
              </w:rPr>
              <w:t>Water or air cooled, all compressor types with and without variable speed</w:t>
            </w:r>
            <w:r w:rsidR="007C3DE2">
              <w:rPr>
                <w:sz w:val="20"/>
                <w:szCs w:val="20"/>
              </w:rPr>
              <w:t xml:space="preserve"> capability</w:t>
            </w:r>
          </w:p>
        </w:tc>
        <w:tc>
          <w:tcPr>
            <w:tcW w:w="1550" w:type="dxa"/>
            <w:vAlign w:val="center"/>
          </w:tcPr>
          <w:p w:rsidR="00197A2E" w:rsidRPr="0071570C" w:rsidRDefault="007C3DE2" w:rsidP="0071570C">
            <w:pPr>
              <w:keepNext/>
              <w:keepLines/>
              <w:spacing w:after="0"/>
              <w:rPr>
                <w:sz w:val="20"/>
                <w:szCs w:val="20"/>
              </w:rPr>
            </w:pPr>
            <w:r>
              <w:rPr>
                <w:rFonts w:eastAsiaTheme="minorHAnsi"/>
                <w:sz w:val="20"/>
                <w:szCs w:val="20"/>
              </w:rPr>
              <w:t>Customized Incentives</w:t>
            </w:r>
          </w:p>
        </w:tc>
        <w:tc>
          <w:tcPr>
            <w:tcW w:w="1384" w:type="dxa"/>
            <w:vAlign w:val="center"/>
          </w:tcPr>
          <w:p w:rsidR="00197A2E" w:rsidRPr="0071570C" w:rsidRDefault="007C3DE2" w:rsidP="0071570C">
            <w:pPr>
              <w:keepNext/>
              <w:keepLines/>
              <w:spacing w:after="0"/>
              <w:rPr>
                <w:sz w:val="20"/>
                <w:szCs w:val="20"/>
              </w:rPr>
            </w:pPr>
            <w:r>
              <w:rPr>
                <w:sz w:val="20"/>
                <w:szCs w:val="20"/>
              </w:rPr>
              <w:t>Commercial, All Building Types</w:t>
            </w:r>
          </w:p>
        </w:tc>
        <w:tc>
          <w:tcPr>
            <w:tcW w:w="1422" w:type="dxa"/>
            <w:vAlign w:val="center"/>
          </w:tcPr>
          <w:p w:rsidR="00197A2E" w:rsidRPr="0071570C" w:rsidRDefault="007C3DE2" w:rsidP="007C3DE2">
            <w:pPr>
              <w:keepNext/>
              <w:keepLines/>
              <w:spacing w:after="0"/>
              <w:jc w:val="center"/>
              <w:rPr>
                <w:sz w:val="20"/>
                <w:szCs w:val="20"/>
              </w:rPr>
            </w:pPr>
            <w:r>
              <w:rPr>
                <w:sz w:val="20"/>
                <w:szCs w:val="20"/>
              </w:rPr>
              <w:t>Statewide</w:t>
            </w:r>
          </w:p>
        </w:tc>
        <w:tc>
          <w:tcPr>
            <w:tcW w:w="1983" w:type="dxa"/>
            <w:vAlign w:val="center"/>
          </w:tcPr>
          <w:p w:rsidR="00197A2E" w:rsidRPr="0071570C" w:rsidRDefault="007C3DE2" w:rsidP="007C3DE2">
            <w:pPr>
              <w:keepNext/>
              <w:keepLines/>
              <w:spacing w:after="0"/>
              <w:jc w:val="center"/>
              <w:rPr>
                <w:sz w:val="20"/>
                <w:szCs w:val="20"/>
              </w:rPr>
            </w:pPr>
            <w:r>
              <w:rPr>
                <w:sz w:val="20"/>
                <w:szCs w:val="20"/>
              </w:rPr>
              <w:t>0.58</w:t>
            </w:r>
          </w:p>
        </w:tc>
      </w:tr>
      <w:tr w:rsidR="00197A2E" w:rsidRPr="0071570C" w:rsidTr="003563C3">
        <w:trPr>
          <w:cantSplit/>
        </w:trPr>
        <w:tc>
          <w:tcPr>
            <w:tcW w:w="1461" w:type="dxa"/>
            <w:vAlign w:val="center"/>
          </w:tcPr>
          <w:p w:rsidR="00197A2E" w:rsidRPr="0071570C" w:rsidRDefault="007C3DE2" w:rsidP="0071570C">
            <w:pPr>
              <w:spacing w:after="0"/>
              <w:rPr>
                <w:rFonts w:eastAsiaTheme="minorHAnsi"/>
                <w:sz w:val="20"/>
                <w:szCs w:val="20"/>
              </w:rPr>
            </w:pPr>
            <w:r w:rsidRPr="0063509F">
              <w:rPr>
                <w:rFonts w:eastAsiaTheme="minorHAnsi"/>
                <w:sz w:val="18"/>
                <w:szCs w:val="18"/>
              </w:rPr>
              <w:t>Package and Split System Air Conditioner and Heat Pump Replacements</w:t>
            </w:r>
          </w:p>
        </w:tc>
        <w:tc>
          <w:tcPr>
            <w:tcW w:w="1790" w:type="dxa"/>
            <w:vAlign w:val="center"/>
          </w:tcPr>
          <w:p w:rsidR="00197A2E" w:rsidRPr="0071570C" w:rsidRDefault="007C3DE2" w:rsidP="007C3DE2">
            <w:pPr>
              <w:keepNext/>
              <w:keepLines/>
              <w:spacing w:after="0"/>
              <w:jc w:val="center"/>
              <w:rPr>
                <w:sz w:val="20"/>
                <w:szCs w:val="20"/>
              </w:rPr>
            </w:pPr>
            <w:r>
              <w:rPr>
                <w:sz w:val="20"/>
                <w:szCs w:val="20"/>
              </w:rPr>
              <w:t>All sizes</w:t>
            </w:r>
          </w:p>
        </w:tc>
        <w:tc>
          <w:tcPr>
            <w:tcW w:w="1550" w:type="dxa"/>
            <w:vAlign w:val="center"/>
          </w:tcPr>
          <w:p w:rsidR="00197A2E" w:rsidRPr="0071570C" w:rsidRDefault="007C3DE2" w:rsidP="0071570C">
            <w:pPr>
              <w:keepNext/>
              <w:keepLines/>
              <w:spacing w:after="0"/>
              <w:rPr>
                <w:sz w:val="20"/>
                <w:szCs w:val="20"/>
              </w:rPr>
            </w:pPr>
            <w:r>
              <w:rPr>
                <w:sz w:val="20"/>
                <w:szCs w:val="20"/>
              </w:rPr>
              <w:t>Upstream</w:t>
            </w:r>
          </w:p>
        </w:tc>
        <w:tc>
          <w:tcPr>
            <w:tcW w:w="1384" w:type="dxa"/>
            <w:vAlign w:val="center"/>
          </w:tcPr>
          <w:p w:rsidR="00197A2E" w:rsidRPr="0071570C" w:rsidRDefault="007C3DE2" w:rsidP="0071570C">
            <w:pPr>
              <w:keepNext/>
              <w:keepLines/>
              <w:spacing w:after="0"/>
              <w:rPr>
                <w:sz w:val="20"/>
                <w:szCs w:val="20"/>
              </w:rPr>
            </w:pPr>
            <w:r>
              <w:rPr>
                <w:sz w:val="20"/>
                <w:szCs w:val="20"/>
              </w:rPr>
              <w:t>Commercial, All Building Types</w:t>
            </w:r>
          </w:p>
        </w:tc>
        <w:tc>
          <w:tcPr>
            <w:tcW w:w="1422" w:type="dxa"/>
            <w:vAlign w:val="center"/>
          </w:tcPr>
          <w:p w:rsidR="00096A50" w:rsidRPr="0071570C" w:rsidRDefault="007C3DE2" w:rsidP="007C3DE2">
            <w:pPr>
              <w:keepNext/>
              <w:keepLines/>
              <w:spacing w:after="0"/>
              <w:jc w:val="center"/>
              <w:rPr>
                <w:sz w:val="20"/>
                <w:szCs w:val="20"/>
              </w:rPr>
            </w:pPr>
            <w:r>
              <w:rPr>
                <w:sz w:val="20"/>
                <w:szCs w:val="20"/>
              </w:rPr>
              <w:t>Statewide</w:t>
            </w:r>
          </w:p>
        </w:tc>
        <w:tc>
          <w:tcPr>
            <w:tcW w:w="1983" w:type="dxa"/>
            <w:vAlign w:val="center"/>
          </w:tcPr>
          <w:p w:rsidR="00197A2E" w:rsidRPr="0071570C" w:rsidRDefault="007C3DE2" w:rsidP="007C3DE2">
            <w:pPr>
              <w:keepNext/>
              <w:keepLines/>
              <w:spacing w:after="0"/>
              <w:rPr>
                <w:sz w:val="20"/>
                <w:szCs w:val="20"/>
              </w:rPr>
            </w:pPr>
            <w:r>
              <w:rPr>
                <w:sz w:val="20"/>
                <w:szCs w:val="20"/>
              </w:rPr>
              <w:t>No update.  Retain current value of 0.85.</w:t>
            </w:r>
          </w:p>
        </w:tc>
      </w:tr>
      <w:bookmarkEnd w:id="6"/>
    </w:tbl>
    <w:p w:rsidR="00596D69" w:rsidRDefault="00596D69" w:rsidP="00596D69">
      <w:pPr>
        <w:spacing w:after="0" w:line="240" w:lineRule="auto"/>
        <w:rPr>
          <w:rFonts w:eastAsiaTheme="minorHAnsi"/>
        </w:rPr>
      </w:pPr>
    </w:p>
    <w:p w:rsidR="000238B7" w:rsidRDefault="000238B7" w:rsidP="000238B7">
      <w:pPr>
        <w:rPr>
          <w:rFonts w:eastAsiaTheme="minorHAnsi"/>
        </w:rPr>
      </w:pPr>
      <w:r>
        <w:rPr>
          <w:rFonts w:eastAsiaTheme="minorHAnsi"/>
        </w:rPr>
        <w:t xml:space="preserve">For the standalone Refrigerant Charge Adjustment HVAC Maintenance measure, the </w:t>
      </w:r>
      <w:r w:rsidR="001276CA">
        <w:rPr>
          <w:rFonts w:eastAsiaTheme="minorHAnsi"/>
        </w:rPr>
        <w:t xml:space="preserve">update team considers the </w:t>
      </w:r>
      <w:r>
        <w:rPr>
          <w:rFonts w:eastAsiaTheme="minorHAnsi"/>
        </w:rPr>
        <w:t xml:space="preserve">sample sizes for two of the evaluated utility programs too low to recommend </w:t>
      </w:r>
      <w:r w:rsidR="001276CA">
        <w:rPr>
          <w:rFonts w:eastAsiaTheme="minorHAnsi"/>
        </w:rPr>
        <w:t xml:space="preserve">standalone </w:t>
      </w:r>
      <w:r>
        <w:rPr>
          <w:rFonts w:eastAsiaTheme="minorHAnsi"/>
        </w:rPr>
        <w:t>utility values.  Therefore, the NTGR results for the four evaluated programs in the 2006 – 2008 study were used to derive a statewide weighted average N</w:t>
      </w:r>
      <w:r w:rsidR="00292C2E">
        <w:rPr>
          <w:rFonts w:eastAsiaTheme="minorHAnsi"/>
        </w:rPr>
        <w:t>TGR value as shown in Appendix A-3.2</w:t>
      </w:r>
      <w:r>
        <w:rPr>
          <w:rFonts w:eastAsiaTheme="minorHAnsi"/>
        </w:rPr>
        <w:t xml:space="preserve">.  </w:t>
      </w:r>
      <w:r w:rsidR="001276CA">
        <w:rPr>
          <w:rFonts w:eastAsiaTheme="minorHAnsi"/>
        </w:rPr>
        <w:t xml:space="preserve">The team expects that </w:t>
      </w:r>
      <w:r>
        <w:rPr>
          <w:rFonts w:eastAsiaTheme="minorHAnsi"/>
        </w:rPr>
        <w:t>future utility programs are unlikely to offer this measure in a standalone fashion</w:t>
      </w:r>
      <w:r w:rsidR="001276CA">
        <w:rPr>
          <w:rFonts w:eastAsiaTheme="minorHAnsi"/>
        </w:rPr>
        <w:t>.  T</w:t>
      </w:r>
      <w:r>
        <w:rPr>
          <w:rFonts w:eastAsiaTheme="minorHAnsi"/>
        </w:rPr>
        <w:t xml:space="preserve">he launch of the HVAC Quality Maintenance programs this year </w:t>
      </w:r>
      <w:r w:rsidR="00020ACB">
        <w:rPr>
          <w:rFonts w:eastAsiaTheme="minorHAnsi"/>
        </w:rPr>
        <w:t xml:space="preserve">already </w:t>
      </w:r>
      <w:r w:rsidR="001276CA">
        <w:rPr>
          <w:rFonts w:eastAsiaTheme="minorHAnsi"/>
        </w:rPr>
        <w:t xml:space="preserve">bundles </w:t>
      </w:r>
      <w:r>
        <w:rPr>
          <w:rFonts w:eastAsiaTheme="minorHAnsi"/>
        </w:rPr>
        <w:t xml:space="preserve">all the HVAC maintenance measures into a </w:t>
      </w:r>
      <w:r w:rsidR="00020ACB">
        <w:rPr>
          <w:rFonts w:eastAsiaTheme="minorHAnsi"/>
        </w:rPr>
        <w:t xml:space="preserve">single </w:t>
      </w:r>
      <w:r>
        <w:rPr>
          <w:rFonts w:eastAsiaTheme="minorHAnsi"/>
        </w:rPr>
        <w:t>diagnostic service offering.  Ongoing 2010 – 2012 EM&amp;V efforts will better inform the long term DEER update in this area than what can be further derived from the prior measurement efforts.</w:t>
      </w:r>
      <w:r w:rsidR="00020ACB">
        <w:rPr>
          <w:rFonts w:eastAsiaTheme="minorHAnsi"/>
        </w:rPr>
        <w:t xml:space="preserve">  Hence, despite the two opposite extreme NTGR results for the PG&amp;E and SCE programs, the team considers the resulting average value of 0.73 adequate for the 2011 DEER update due to the ongoing program changes.  </w:t>
      </w:r>
    </w:p>
    <w:p w:rsidR="000238B7" w:rsidRPr="00835EC2" w:rsidRDefault="000238B7" w:rsidP="000238B7">
      <w:pPr>
        <w:rPr>
          <w:rFonts w:eastAsiaTheme="minorHAnsi"/>
        </w:rPr>
      </w:pPr>
      <w:r>
        <w:rPr>
          <w:rFonts w:eastAsiaTheme="minorHAnsi"/>
        </w:rPr>
        <w:t xml:space="preserve">Likewise, the RCx study results had small sample sizes for individually evaluated programs, requiring that the NTGR results be combined into statewide electric and natural gas values to maintain statistical significance.  The large number of potential measures in this category and the custom projects through which they are mostly implemented through does not allow us to make any reliable predictions for this measure category.  In addition, with the launch of the HVAC Quality Maintenance offerings, potential overlaps need to be more closely examined as the program evolves and the Ex Ante and Custom Project review process begin to take place.  The </w:t>
      </w:r>
      <w:r>
        <w:rPr>
          <w:rFonts w:eastAsiaTheme="minorHAnsi"/>
        </w:rPr>
        <w:lastRenderedPageBreak/>
        <w:t xml:space="preserve">derivation of the recommended RCx packages EEM statewide weighted average NTGR values for electric and natural gas is shown in Appendix B.  </w:t>
      </w:r>
    </w:p>
    <w:p w:rsidR="00835EC2" w:rsidRDefault="00835EC2" w:rsidP="00835EC2">
      <w:pPr>
        <w:rPr>
          <w:rFonts w:eastAsiaTheme="minorHAnsi"/>
        </w:rPr>
      </w:pPr>
      <w:r>
        <w:rPr>
          <w:rFonts w:eastAsiaTheme="minorHAnsi"/>
        </w:rPr>
        <w:t xml:space="preserve">The Chiller Replacements EEM is typically implemented and rebated through custom projects.  Thus, a recommended NTGR value was derived from the 2006 – 2008 evaluation </w:t>
      </w:r>
      <w:r w:rsidR="000238B7">
        <w:rPr>
          <w:rFonts w:eastAsiaTheme="minorHAnsi"/>
        </w:rPr>
        <w:t xml:space="preserve">study NTGR </w:t>
      </w:r>
      <w:r>
        <w:rPr>
          <w:rFonts w:eastAsiaTheme="minorHAnsi"/>
        </w:rPr>
        <w:t>results for customized incentive programs.  The evaluation study did not produce a standalone result for chiller replacements.  Hence, the team used a combin</w:t>
      </w:r>
      <w:r w:rsidR="00982C9F">
        <w:rPr>
          <w:rFonts w:eastAsiaTheme="minorHAnsi"/>
        </w:rPr>
        <w:t xml:space="preserve">ation </w:t>
      </w:r>
      <w:r>
        <w:rPr>
          <w:rFonts w:eastAsiaTheme="minorHAnsi"/>
        </w:rPr>
        <w:t>of program level results and individual chiller project results and selected the rounded-up midpoint of the range to arrive at an overall statewide recommended NTGR value.  The approach is shown in Appendix B.  Finally, the team’s detailed review of the 2006 – 2008 evaluation study for the HVAC Upstream programs for the Packaged and Split Systems Air Conditioner replacement measure concluded that the sample size was not much better than the 2004 – 2005 evaluation.  Therefore, no change to the adopted 2008 DEER NTGR value for this measure is recommended.</w:t>
      </w:r>
    </w:p>
    <w:p w:rsidR="00B253DF" w:rsidRPr="0050194C" w:rsidRDefault="00B253DF" w:rsidP="0050194C">
      <w:pPr>
        <w:pStyle w:val="Heading2"/>
      </w:pPr>
      <w:r>
        <w:rPr>
          <w:rFonts w:eastAsiaTheme="minorHAnsi"/>
        </w:rPr>
        <w:t xml:space="preserve">Factors </w:t>
      </w:r>
      <w:r w:rsidR="005658B0">
        <w:rPr>
          <w:rFonts w:eastAsiaTheme="minorHAnsi"/>
        </w:rPr>
        <w:t>L</w:t>
      </w:r>
      <w:r>
        <w:rPr>
          <w:rFonts w:eastAsiaTheme="minorHAnsi"/>
        </w:rPr>
        <w:t xml:space="preserve">ikely to </w:t>
      </w:r>
      <w:r w:rsidR="005658B0">
        <w:rPr>
          <w:rFonts w:eastAsiaTheme="minorHAnsi"/>
        </w:rPr>
        <w:t>L</w:t>
      </w:r>
      <w:r>
        <w:rPr>
          <w:rFonts w:eastAsiaTheme="minorHAnsi"/>
        </w:rPr>
        <w:t xml:space="preserve">ead to </w:t>
      </w:r>
      <w:r w:rsidR="005658B0">
        <w:rPr>
          <w:rFonts w:eastAsiaTheme="minorHAnsi"/>
        </w:rPr>
        <w:t>C</w:t>
      </w:r>
      <w:r>
        <w:rPr>
          <w:rFonts w:eastAsiaTheme="minorHAnsi"/>
        </w:rPr>
        <w:t>hang</w:t>
      </w:r>
      <w:r w:rsidR="005658B0">
        <w:rPr>
          <w:rFonts w:eastAsiaTheme="minorHAnsi"/>
        </w:rPr>
        <w:t xml:space="preserve">es </w:t>
      </w:r>
      <w:r w:rsidR="00F35612">
        <w:rPr>
          <w:rFonts w:eastAsiaTheme="minorHAnsi"/>
        </w:rPr>
        <w:t>in</w:t>
      </w:r>
      <w:r w:rsidR="0050194C">
        <w:rPr>
          <w:rFonts w:eastAsiaTheme="minorHAnsi"/>
        </w:rPr>
        <w:t xml:space="preserve"> </w:t>
      </w:r>
      <w:r w:rsidR="005658B0">
        <w:rPr>
          <w:rFonts w:eastAsiaTheme="minorHAnsi"/>
        </w:rPr>
        <w:t>the N</w:t>
      </w:r>
      <w:r w:rsidR="0050194C">
        <w:rPr>
          <w:rFonts w:eastAsiaTheme="minorHAnsi"/>
        </w:rPr>
        <w:t xml:space="preserve">ext </w:t>
      </w:r>
      <w:r w:rsidR="005658B0">
        <w:rPr>
          <w:rFonts w:eastAsiaTheme="minorHAnsi"/>
        </w:rPr>
        <w:t>T</w:t>
      </w:r>
      <w:r w:rsidR="0050194C">
        <w:rPr>
          <w:rFonts w:eastAsiaTheme="minorHAnsi"/>
        </w:rPr>
        <w:t xml:space="preserve">hree </w:t>
      </w:r>
      <w:r w:rsidR="005658B0">
        <w:rPr>
          <w:rFonts w:eastAsiaTheme="minorHAnsi"/>
        </w:rPr>
        <w:t>Y</w:t>
      </w:r>
      <w:r w:rsidR="0050194C">
        <w:rPr>
          <w:rFonts w:eastAsiaTheme="minorHAnsi"/>
        </w:rPr>
        <w:t>ears</w:t>
      </w:r>
    </w:p>
    <w:p w:rsidR="00B253DF" w:rsidRDefault="00B253DF" w:rsidP="00B253DF">
      <w:pPr>
        <w:rPr>
          <w:rFonts w:eastAsiaTheme="minorHAnsi"/>
        </w:rPr>
      </w:pPr>
      <w:r>
        <w:rPr>
          <w:rFonts w:eastAsiaTheme="minorHAnsi"/>
        </w:rPr>
        <w:t>The DEER team reviewed the two most recent NTGR evaluations and the overall literature to identify key factors</w:t>
      </w:r>
      <w:r w:rsidR="00F35612">
        <w:rPr>
          <w:rFonts w:eastAsiaTheme="minorHAnsi"/>
        </w:rPr>
        <w:t xml:space="preserve"> </w:t>
      </w:r>
      <w:r w:rsidR="009A2C36">
        <w:rPr>
          <w:rFonts w:eastAsiaTheme="minorHAnsi"/>
        </w:rPr>
        <w:t xml:space="preserve">that may </w:t>
      </w:r>
      <w:r w:rsidR="00F35612">
        <w:rPr>
          <w:rFonts w:eastAsiaTheme="minorHAnsi"/>
        </w:rPr>
        <w:t xml:space="preserve">lead to changes </w:t>
      </w:r>
      <w:r w:rsidR="00A10679">
        <w:rPr>
          <w:rFonts w:eastAsiaTheme="minorHAnsi"/>
        </w:rPr>
        <w:t xml:space="preserve">in the next three years </w:t>
      </w:r>
      <w:r>
        <w:rPr>
          <w:rFonts w:eastAsiaTheme="minorHAnsi"/>
        </w:rPr>
        <w:t xml:space="preserve">for </w:t>
      </w:r>
      <w:r w:rsidR="007C3DE2">
        <w:rPr>
          <w:rFonts w:eastAsiaTheme="minorHAnsi"/>
        </w:rPr>
        <w:t xml:space="preserve">the </w:t>
      </w:r>
      <w:r w:rsidR="00A10679">
        <w:rPr>
          <w:rFonts w:eastAsiaTheme="minorHAnsi"/>
        </w:rPr>
        <w:t>c</w:t>
      </w:r>
      <w:r w:rsidR="007C3DE2">
        <w:rPr>
          <w:rFonts w:eastAsiaTheme="minorHAnsi"/>
        </w:rPr>
        <w:t xml:space="preserve">ommercial </w:t>
      </w:r>
      <w:r w:rsidRPr="003E09AA">
        <w:rPr>
          <w:rFonts w:eastAsiaTheme="minorHAnsi"/>
        </w:rPr>
        <w:t>HVAC</w:t>
      </w:r>
      <w:r w:rsidR="007C3DE2">
        <w:rPr>
          <w:rFonts w:eastAsiaTheme="minorHAnsi"/>
        </w:rPr>
        <w:t xml:space="preserve"> EEMs</w:t>
      </w:r>
      <w:r w:rsidR="00A10679">
        <w:rPr>
          <w:rFonts w:eastAsiaTheme="minorHAnsi"/>
        </w:rPr>
        <w:t xml:space="preserve"> and the </w:t>
      </w:r>
      <w:r>
        <w:rPr>
          <w:rFonts w:eastAsiaTheme="minorHAnsi"/>
        </w:rPr>
        <w:t>programs</w:t>
      </w:r>
      <w:r w:rsidR="00A10679">
        <w:rPr>
          <w:rFonts w:eastAsiaTheme="minorHAnsi"/>
        </w:rPr>
        <w:t xml:space="preserve"> that promote them</w:t>
      </w:r>
      <w:r>
        <w:rPr>
          <w:rFonts w:eastAsiaTheme="minorHAnsi"/>
        </w:rPr>
        <w:t xml:space="preserve">. </w:t>
      </w:r>
      <w:r w:rsidR="00F35612">
        <w:rPr>
          <w:rFonts w:eastAsiaTheme="minorHAnsi"/>
        </w:rPr>
        <w:t xml:space="preserve"> </w:t>
      </w:r>
      <w:r>
        <w:rPr>
          <w:rFonts w:eastAsiaTheme="minorHAnsi"/>
        </w:rPr>
        <w:t xml:space="preserve">The principal factors </w:t>
      </w:r>
      <w:r w:rsidR="00213A89">
        <w:rPr>
          <w:rFonts w:eastAsiaTheme="minorHAnsi"/>
        </w:rPr>
        <w:t xml:space="preserve">that </w:t>
      </w:r>
      <w:r>
        <w:rPr>
          <w:rFonts w:eastAsiaTheme="minorHAnsi"/>
        </w:rPr>
        <w:t>were</w:t>
      </w:r>
      <w:r w:rsidR="00213A89">
        <w:rPr>
          <w:rFonts w:eastAsiaTheme="minorHAnsi"/>
        </w:rPr>
        <w:t xml:space="preserve"> identified </w:t>
      </w:r>
      <w:r w:rsidR="009A2C36">
        <w:rPr>
          <w:rFonts w:eastAsiaTheme="minorHAnsi"/>
        </w:rPr>
        <w:t>include</w:t>
      </w:r>
      <w:r>
        <w:rPr>
          <w:rFonts w:eastAsiaTheme="minorHAnsi"/>
        </w:rPr>
        <w:t>:</w:t>
      </w:r>
    </w:p>
    <w:p w:rsidR="00B253DF" w:rsidRDefault="009A2C36" w:rsidP="00312DEB">
      <w:pPr>
        <w:pStyle w:val="ListParagraph"/>
        <w:numPr>
          <w:ilvl w:val="0"/>
          <w:numId w:val="7"/>
        </w:numPr>
        <w:spacing w:after="280"/>
        <w:contextualSpacing/>
        <w:jc w:val="left"/>
        <w:rPr>
          <w:rFonts w:eastAsiaTheme="minorHAnsi"/>
        </w:rPr>
      </w:pPr>
      <w:r>
        <w:rPr>
          <w:rFonts w:eastAsiaTheme="minorHAnsi"/>
        </w:rPr>
        <w:t>Potential c</w:t>
      </w:r>
      <w:r w:rsidR="00FA455B">
        <w:rPr>
          <w:rFonts w:eastAsiaTheme="minorHAnsi"/>
        </w:rPr>
        <w:t xml:space="preserve">hanges in </w:t>
      </w:r>
      <w:r>
        <w:rPr>
          <w:rFonts w:eastAsiaTheme="minorHAnsi"/>
        </w:rPr>
        <w:t>the level of r</w:t>
      </w:r>
      <w:r w:rsidR="00B253DF">
        <w:rPr>
          <w:rFonts w:eastAsiaTheme="minorHAnsi"/>
        </w:rPr>
        <w:t>ebate</w:t>
      </w:r>
      <w:r>
        <w:rPr>
          <w:rFonts w:eastAsiaTheme="minorHAnsi"/>
        </w:rPr>
        <w:t>s</w:t>
      </w:r>
      <w:r w:rsidR="00B253DF">
        <w:rPr>
          <w:rFonts w:eastAsiaTheme="minorHAnsi"/>
        </w:rPr>
        <w:t xml:space="preserve"> </w:t>
      </w:r>
      <w:r>
        <w:rPr>
          <w:rFonts w:eastAsiaTheme="minorHAnsi"/>
        </w:rPr>
        <w:t xml:space="preserve">and qualification tiers </w:t>
      </w:r>
      <w:r w:rsidR="00B253DF">
        <w:rPr>
          <w:rFonts w:eastAsiaTheme="minorHAnsi"/>
        </w:rPr>
        <w:t xml:space="preserve">for </w:t>
      </w:r>
      <w:r>
        <w:rPr>
          <w:rFonts w:eastAsiaTheme="minorHAnsi"/>
        </w:rPr>
        <w:t xml:space="preserve">commercial </w:t>
      </w:r>
      <w:r w:rsidR="00B253DF" w:rsidRPr="003E09AA">
        <w:rPr>
          <w:rFonts w:eastAsiaTheme="minorHAnsi"/>
        </w:rPr>
        <w:t>HVAC</w:t>
      </w:r>
      <w:r w:rsidR="00B253DF">
        <w:rPr>
          <w:rFonts w:eastAsiaTheme="minorHAnsi"/>
        </w:rPr>
        <w:t xml:space="preserve"> </w:t>
      </w:r>
      <w:r>
        <w:rPr>
          <w:rFonts w:eastAsiaTheme="minorHAnsi"/>
        </w:rPr>
        <w:t>equipment,</w:t>
      </w:r>
      <w:r w:rsidR="00B253DF">
        <w:rPr>
          <w:rFonts w:eastAsiaTheme="minorHAnsi"/>
        </w:rPr>
        <w:t xml:space="preserve"> </w:t>
      </w:r>
    </w:p>
    <w:p w:rsidR="009A2C36" w:rsidRDefault="00305900" w:rsidP="00312DEB">
      <w:pPr>
        <w:pStyle w:val="ListParagraph"/>
        <w:numPr>
          <w:ilvl w:val="0"/>
          <w:numId w:val="7"/>
        </w:numPr>
        <w:spacing w:after="280"/>
        <w:contextualSpacing/>
        <w:jc w:val="left"/>
        <w:rPr>
          <w:rFonts w:eastAsiaTheme="minorHAnsi"/>
        </w:rPr>
      </w:pPr>
      <w:r>
        <w:rPr>
          <w:rFonts w:eastAsiaTheme="minorHAnsi"/>
        </w:rPr>
        <w:t>Significant c</w:t>
      </w:r>
      <w:r w:rsidR="009A2C36">
        <w:rPr>
          <w:rFonts w:eastAsiaTheme="minorHAnsi"/>
        </w:rPr>
        <w:t xml:space="preserve">hanges </w:t>
      </w:r>
      <w:r w:rsidR="00B253DF">
        <w:rPr>
          <w:rFonts w:eastAsiaTheme="minorHAnsi"/>
        </w:rPr>
        <w:t xml:space="preserve">in </w:t>
      </w:r>
      <w:r>
        <w:rPr>
          <w:rFonts w:eastAsiaTheme="minorHAnsi"/>
        </w:rPr>
        <w:t xml:space="preserve">EEM </w:t>
      </w:r>
      <w:r w:rsidR="009A2C36">
        <w:rPr>
          <w:rFonts w:eastAsiaTheme="minorHAnsi"/>
        </w:rPr>
        <w:t>i</w:t>
      </w:r>
      <w:r w:rsidR="00B253DF">
        <w:rPr>
          <w:rFonts w:eastAsiaTheme="minorHAnsi"/>
        </w:rPr>
        <w:t xml:space="preserve">ncremental </w:t>
      </w:r>
      <w:r w:rsidR="009A2C36">
        <w:rPr>
          <w:rFonts w:eastAsiaTheme="minorHAnsi"/>
        </w:rPr>
        <w:t>c</w:t>
      </w:r>
      <w:r w:rsidR="00B253DF">
        <w:rPr>
          <w:rFonts w:eastAsiaTheme="minorHAnsi"/>
        </w:rPr>
        <w:t>osts</w:t>
      </w:r>
      <w:r w:rsidR="009A2C36">
        <w:rPr>
          <w:rFonts w:eastAsiaTheme="minorHAnsi"/>
        </w:rPr>
        <w:t>,</w:t>
      </w:r>
    </w:p>
    <w:p w:rsidR="00B253DF" w:rsidRDefault="009A2C36" w:rsidP="00312DEB">
      <w:pPr>
        <w:pStyle w:val="ListParagraph"/>
        <w:numPr>
          <w:ilvl w:val="0"/>
          <w:numId w:val="7"/>
        </w:numPr>
        <w:spacing w:after="280"/>
        <w:contextualSpacing/>
        <w:jc w:val="left"/>
        <w:rPr>
          <w:rFonts w:eastAsiaTheme="minorHAnsi"/>
        </w:rPr>
      </w:pPr>
      <w:r>
        <w:rPr>
          <w:rFonts w:eastAsiaTheme="minorHAnsi"/>
        </w:rPr>
        <w:t xml:space="preserve">Potential federal and state </w:t>
      </w:r>
      <w:r w:rsidR="00B253DF">
        <w:rPr>
          <w:rFonts w:eastAsiaTheme="minorHAnsi"/>
        </w:rPr>
        <w:t xml:space="preserve">code updates </w:t>
      </w:r>
      <w:r>
        <w:rPr>
          <w:rFonts w:eastAsiaTheme="minorHAnsi"/>
        </w:rPr>
        <w:t xml:space="preserve">including the </w:t>
      </w:r>
      <w:r w:rsidR="00B253DF">
        <w:rPr>
          <w:rFonts w:eastAsiaTheme="minorHAnsi"/>
        </w:rPr>
        <w:t xml:space="preserve">time lag from </w:t>
      </w:r>
      <w:r>
        <w:rPr>
          <w:rFonts w:eastAsiaTheme="minorHAnsi"/>
        </w:rPr>
        <w:t xml:space="preserve">the previous set of </w:t>
      </w:r>
      <w:r w:rsidR="00B253DF">
        <w:rPr>
          <w:rFonts w:eastAsiaTheme="minorHAnsi"/>
        </w:rPr>
        <w:t>code update</w:t>
      </w:r>
      <w:r>
        <w:rPr>
          <w:rFonts w:eastAsiaTheme="minorHAnsi"/>
        </w:rPr>
        <w:t>s</w:t>
      </w:r>
      <w:r w:rsidR="00EE2CB8">
        <w:rPr>
          <w:rFonts w:eastAsiaTheme="minorHAnsi"/>
        </w:rPr>
        <w:t xml:space="preserve"> (e</w:t>
      </w:r>
      <w:r>
        <w:rPr>
          <w:rFonts w:eastAsiaTheme="minorHAnsi"/>
        </w:rPr>
        <w:t>ffective date requirements in EISA and Title 20/24 for code changes that are already approved),</w:t>
      </w:r>
    </w:p>
    <w:p w:rsidR="00B253DF" w:rsidRDefault="00B253DF" w:rsidP="005372DA">
      <w:pPr>
        <w:pStyle w:val="ListParagraph"/>
        <w:numPr>
          <w:ilvl w:val="0"/>
          <w:numId w:val="8"/>
        </w:numPr>
        <w:spacing w:after="280"/>
        <w:contextualSpacing/>
        <w:jc w:val="left"/>
        <w:rPr>
          <w:rFonts w:eastAsiaTheme="minorHAnsi"/>
        </w:rPr>
      </w:pPr>
      <w:r>
        <w:rPr>
          <w:rFonts w:eastAsiaTheme="minorHAnsi"/>
        </w:rPr>
        <w:t xml:space="preserve">Business trends </w:t>
      </w:r>
      <w:r w:rsidR="009A2C36">
        <w:rPr>
          <w:rFonts w:eastAsiaTheme="minorHAnsi"/>
        </w:rPr>
        <w:t xml:space="preserve">in </w:t>
      </w:r>
      <w:r>
        <w:rPr>
          <w:rFonts w:eastAsiaTheme="minorHAnsi"/>
        </w:rPr>
        <w:t xml:space="preserve">the </w:t>
      </w:r>
      <w:r w:rsidR="009A2C36">
        <w:rPr>
          <w:rFonts w:eastAsiaTheme="minorHAnsi"/>
        </w:rPr>
        <w:t>c</w:t>
      </w:r>
      <w:r>
        <w:rPr>
          <w:rFonts w:eastAsiaTheme="minorHAnsi"/>
        </w:rPr>
        <w:t>ontractor market</w:t>
      </w:r>
      <w:r w:rsidR="00305900">
        <w:rPr>
          <w:rFonts w:eastAsiaTheme="minorHAnsi"/>
        </w:rPr>
        <w:t>,</w:t>
      </w:r>
      <w:r>
        <w:rPr>
          <w:rFonts w:eastAsiaTheme="minorHAnsi"/>
        </w:rPr>
        <w:t xml:space="preserve"> and customer disposable income </w:t>
      </w:r>
      <w:r w:rsidR="00305900">
        <w:rPr>
          <w:rFonts w:eastAsiaTheme="minorHAnsi"/>
        </w:rPr>
        <w:t>and attitude towards major purchases (</w:t>
      </w:r>
      <w:r>
        <w:rPr>
          <w:rFonts w:eastAsiaTheme="minorHAnsi"/>
        </w:rPr>
        <w:t xml:space="preserve">effect </w:t>
      </w:r>
      <w:r w:rsidR="00305900">
        <w:rPr>
          <w:rFonts w:eastAsiaTheme="minorHAnsi"/>
        </w:rPr>
        <w:t xml:space="preserve">on </w:t>
      </w:r>
      <w:r>
        <w:rPr>
          <w:rFonts w:eastAsiaTheme="minorHAnsi"/>
        </w:rPr>
        <w:t>program volumes and market share</w:t>
      </w:r>
      <w:r w:rsidR="00305900">
        <w:rPr>
          <w:rFonts w:eastAsiaTheme="minorHAnsi"/>
        </w:rPr>
        <w:t>), and</w:t>
      </w:r>
    </w:p>
    <w:p w:rsidR="00B253DF" w:rsidRPr="00197A2E" w:rsidRDefault="00B253DF" w:rsidP="00312DEB">
      <w:pPr>
        <w:pStyle w:val="ListParagraph"/>
        <w:numPr>
          <w:ilvl w:val="0"/>
          <w:numId w:val="7"/>
        </w:numPr>
        <w:spacing w:after="280"/>
        <w:contextualSpacing/>
        <w:jc w:val="left"/>
        <w:rPr>
          <w:rFonts w:eastAsiaTheme="minorHAnsi"/>
        </w:rPr>
      </w:pPr>
      <w:r>
        <w:rPr>
          <w:rFonts w:eastAsiaTheme="minorHAnsi"/>
        </w:rPr>
        <w:t xml:space="preserve">Changes in </w:t>
      </w:r>
      <w:r w:rsidR="00305900">
        <w:rPr>
          <w:rFonts w:eastAsiaTheme="minorHAnsi"/>
        </w:rPr>
        <w:t xml:space="preserve">either </w:t>
      </w:r>
      <w:r>
        <w:rPr>
          <w:rFonts w:eastAsiaTheme="minorHAnsi"/>
        </w:rPr>
        <w:t>Program Design or Sales Channel</w:t>
      </w:r>
      <w:r w:rsidR="00305900">
        <w:rPr>
          <w:rFonts w:eastAsiaTheme="minorHAnsi"/>
        </w:rPr>
        <w:t>s</w:t>
      </w:r>
      <w:r w:rsidR="001A2A1B">
        <w:rPr>
          <w:rFonts w:eastAsiaTheme="minorHAnsi"/>
        </w:rPr>
        <w:t>, e.g., target a narrow market sector</w:t>
      </w:r>
      <w:r w:rsidR="00305900">
        <w:rPr>
          <w:rFonts w:eastAsiaTheme="minorHAnsi"/>
        </w:rPr>
        <w:t>.</w:t>
      </w:r>
    </w:p>
    <w:p w:rsidR="00B253DF" w:rsidRPr="00312DEB" w:rsidRDefault="007D7C63" w:rsidP="00312DEB">
      <w:pPr>
        <w:pStyle w:val="Heading2"/>
        <w:rPr>
          <w:rFonts w:eastAsiaTheme="minorHAnsi"/>
        </w:rPr>
      </w:pPr>
      <w:r w:rsidRPr="00312DEB">
        <w:rPr>
          <w:rFonts w:eastAsiaTheme="minorHAnsi"/>
        </w:rPr>
        <w:t xml:space="preserve">Assessment of Current Data </w:t>
      </w:r>
      <w:r w:rsidR="00B253DF" w:rsidRPr="00312DEB">
        <w:rPr>
          <w:rFonts w:eastAsiaTheme="minorHAnsi"/>
        </w:rPr>
        <w:t>and Too</w:t>
      </w:r>
      <w:r w:rsidR="00FA455B" w:rsidRPr="00312DEB">
        <w:rPr>
          <w:rFonts w:eastAsiaTheme="minorHAnsi"/>
        </w:rPr>
        <w:t xml:space="preserve">ls Available </w:t>
      </w:r>
      <w:r w:rsidR="00F35612" w:rsidRPr="00312DEB">
        <w:rPr>
          <w:rFonts w:eastAsiaTheme="minorHAnsi"/>
        </w:rPr>
        <w:t>to</w:t>
      </w:r>
      <w:r w:rsidR="00FA455B" w:rsidRPr="00312DEB">
        <w:rPr>
          <w:rFonts w:eastAsiaTheme="minorHAnsi"/>
        </w:rPr>
        <w:t xml:space="preserve"> </w:t>
      </w:r>
      <w:r w:rsidR="00F35612" w:rsidRPr="00312DEB">
        <w:rPr>
          <w:rFonts w:eastAsiaTheme="minorHAnsi"/>
        </w:rPr>
        <w:t>Prepare a Forecast</w:t>
      </w:r>
      <w:r w:rsidR="00FA455B" w:rsidRPr="00312DEB">
        <w:rPr>
          <w:rFonts w:eastAsiaTheme="minorHAnsi"/>
        </w:rPr>
        <w:t xml:space="preserve"> </w:t>
      </w:r>
      <w:r w:rsidR="00F35612" w:rsidRPr="00312DEB">
        <w:rPr>
          <w:rFonts w:eastAsiaTheme="minorHAnsi"/>
        </w:rPr>
        <w:t xml:space="preserve">of </w:t>
      </w:r>
      <w:r w:rsidR="00FA455B" w:rsidRPr="00312DEB">
        <w:rPr>
          <w:rFonts w:eastAsiaTheme="minorHAnsi"/>
        </w:rPr>
        <w:t>NTGR</w:t>
      </w:r>
      <w:r w:rsidR="00F35612" w:rsidRPr="00312DEB">
        <w:rPr>
          <w:rFonts w:eastAsiaTheme="minorHAnsi"/>
        </w:rPr>
        <w:t xml:space="preserve"> Values</w:t>
      </w:r>
    </w:p>
    <w:p w:rsidR="00B253DF" w:rsidRDefault="00EE2CB8" w:rsidP="00B253DF">
      <w:pPr>
        <w:rPr>
          <w:rFonts w:eastAsiaTheme="minorHAnsi"/>
        </w:rPr>
      </w:pPr>
      <w:r>
        <w:rPr>
          <w:rFonts w:eastAsiaTheme="minorHAnsi"/>
        </w:rPr>
        <w:t xml:space="preserve">The </w:t>
      </w:r>
      <w:r w:rsidR="00B253DF">
        <w:rPr>
          <w:rFonts w:eastAsiaTheme="minorHAnsi"/>
        </w:rPr>
        <w:t>NTGR</w:t>
      </w:r>
      <w:r>
        <w:rPr>
          <w:rFonts w:eastAsiaTheme="minorHAnsi"/>
        </w:rPr>
        <w:t xml:space="preserve"> values</w:t>
      </w:r>
      <w:r w:rsidR="00B253DF">
        <w:rPr>
          <w:rFonts w:eastAsiaTheme="minorHAnsi"/>
        </w:rPr>
        <w:t xml:space="preserve"> for </w:t>
      </w:r>
      <w:r w:rsidR="00741807">
        <w:rPr>
          <w:rFonts w:eastAsiaTheme="minorHAnsi"/>
        </w:rPr>
        <w:t xml:space="preserve">certain general </w:t>
      </w:r>
      <w:r>
        <w:rPr>
          <w:rFonts w:eastAsiaTheme="minorHAnsi"/>
        </w:rPr>
        <w:t xml:space="preserve">commercial </w:t>
      </w:r>
      <w:r w:rsidR="00B253DF" w:rsidRPr="007F543F">
        <w:rPr>
          <w:rFonts w:eastAsiaTheme="minorHAnsi"/>
        </w:rPr>
        <w:t>HVAC</w:t>
      </w:r>
      <w:r w:rsidR="00B253DF">
        <w:rPr>
          <w:rFonts w:eastAsiaTheme="minorHAnsi"/>
        </w:rPr>
        <w:t xml:space="preserve"> </w:t>
      </w:r>
      <w:r w:rsidR="00741807">
        <w:rPr>
          <w:rFonts w:eastAsiaTheme="minorHAnsi"/>
        </w:rPr>
        <w:t xml:space="preserve">EEM Categories such as “Other HVAC” </w:t>
      </w:r>
      <w:r w:rsidR="00B253DF">
        <w:rPr>
          <w:rFonts w:eastAsiaTheme="minorHAnsi"/>
        </w:rPr>
        <w:t xml:space="preserve">have </w:t>
      </w:r>
      <w:r>
        <w:rPr>
          <w:rFonts w:eastAsiaTheme="minorHAnsi"/>
        </w:rPr>
        <w:t>declin</w:t>
      </w:r>
      <w:r w:rsidR="006C7E47">
        <w:rPr>
          <w:rFonts w:eastAsiaTheme="minorHAnsi"/>
        </w:rPr>
        <w:t>ed</w:t>
      </w:r>
      <w:r w:rsidR="00741807">
        <w:rPr>
          <w:rFonts w:eastAsiaTheme="minorHAnsi"/>
        </w:rPr>
        <w:t>, falling from 0.96 used in the Express Efficiency Program</w:t>
      </w:r>
      <w:r w:rsidR="00B253DF">
        <w:rPr>
          <w:rFonts w:eastAsiaTheme="minorHAnsi"/>
        </w:rPr>
        <w:t xml:space="preserve"> </w:t>
      </w:r>
      <w:r w:rsidR="00D444F2">
        <w:rPr>
          <w:rFonts w:eastAsiaTheme="minorHAnsi"/>
        </w:rPr>
        <w:t>t</w:t>
      </w:r>
      <w:r w:rsidR="00077F88">
        <w:rPr>
          <w:rFonts w:eastAsiaTheme="minorHAnsi"/>
        </w:rPr>
        <w:t>hrough 2005</w:t>
      </w:r>
      <w:r w:rsidR="00D444F2">
        <w:rPr>
          <w:rFonts w:eastAsiaTheme="minorHAnsi"/>
        </w:rPr>
        <w:t xml:space="preserve">, </w:t>
      </w:r>
      <w:r w:rsidR="00B253DF">
        <w:rPr>
          <w:rFonts w:eastAsiaTheme="minorHAnsi"/>
        </w:rPr>
        <w:t>to 0.</w:t>
      </w:r>
      <w:r w:rsidR="00741807">
        <w:rPr>
          <w:rFonts w:eastAsiaTheme="minorHAnsi"/>
        </w:rPr>
        <w:t>50</w:t>
      </w:r>
      <w:r w:rsidR="00B253DF">
        <w:rPr>
          <w:rFonts w:eastAsiaTheme="minorHAnsi"/>
        </w:rPr>
        <w:t xml:space="preserve"> </w:t>
      </w:r>
      <w:r w:rsidR="00741807">
        <w:rPr>
          <w:rFonts w:eastAsiaTheme="minorHAnsi"/>
        </w:rPr>
        <w:t xml:space="preserve">established in the 2004 – 2005 Express Efficiency Program Evaluation </w:t>
      </w:r>
      <w:r w:rsidR="00077F88">
        <w:rPr>
          <w:rFonts w:eastAsiaTheme="minorHAnsi"/>
        </w:rPr>
        <w:t xml:space="preserve">Study </w:t>
      </w:r>
      <w:r w:rsidR="00741807">
        <w:rPr>
          <w:rFonts w:eastAsiaTheme="minorHAnsi"/>
        </w:rPr>
        <w:t>and adopted for the 2008 DEER Update.</w:t>
      </w:r>
      <w:r w:rsidR="00B253DF">
        <w:rPr>
          <w:rFonts w:eastAsiaTheme="minorHAnsi"/>
        </w:rPr>
        <w:t xml:space="preserve">  </w:t>
      </w:r>
      <w:r w:rsidR="009D71B3">
        <w:rPr>
          <w:rFonts w:eastAsiaTheme="minorHAnsi"/>
        </w:rPr>
        <w:t xml:space="preserve">Likewise, the general “All HVAC” EEM Category for large non-residential projects through the Customized Incentives approach declined from 0.70 to a value of 0.54 determined through the ’04-’05 SPC evaluation study, and settling on the consensus value of 0.64 for all Customized Incentive EEMs adopted in the 2008 DEER Update.  </w:t>
      </w:r>
      <w:r w:rsidR="00D444F2">
        <w:rPr>
          <w:rFonts w:eastAsiaTheme="minorHAnsi"/>
        </w:rPr>
        <w:lastRenderedPageBreak/>
        <w:t>Equipment specific</w:t>
      </w:r>
      <w:r w:rsidR="00741807">
        <w:rPr>
          <w:rFonts w:eastAsiaTheme="minorHAnsi"/>
        </w:rPr>
        <w:t xml:space="preserve"> </w:t>
      </w:r>
      <w:r w:rsidR="00D444F2">
        <w:rPr>
          <w:rFonts w:eastAsiaTheme="minorHAnsi"/>
        </w:rPr>
        <w:t>c</w:t>
      </w:r>
      <w:r w:rsidR="009D71B3">
        <w:rPr>
          <w:rFonts w:eastAsiaTheme="minorHAnsi"/>
        </w:rPr>
        <w:t xml:space="preserve">ommercial HVAC </w:t>
      </w:r>
      <w:r w:rsidR="00741807">
        <w:rPr>
          <w:rFonts w:eastAsiaTheme="minorHAnsi"/>
        </w:rPr>
        <w:t xml:space="preserve">EEM </w:t>
      </w:r>
      <w:r w:rsidR="00D444F2">
        <w:rPr>
          <w:rFonts w:eastAsiaTheme="minorHAnsi"/>
        </w:rPr>
        <w:t>c</w:t>
      </w:r>
      <w:r w:rsidR="00741807">
        <w:rPr>
          <w:rFonts w:eastAsiaTheme="minorHAnsi"/>
        </w:rPr>
        <w:t xml:space="preserve">ategories and delivery approaches have </w:t>
      </w:r>
      <w:r w:rsidR="006C7E47">
        <w:rPr>
          <w:rFonts w:eastAsiaTheme="minorHAnsi"/>
        </w:rPr>
        <w:t>stayed</w:t>
      </w:r>
      <w:r w:rsidR="00741807">
        <w:rPr>
          <w:rFonts w:eastAsiaTheme="minorHAnsi"/>
        </w:rPr>
        <w:t xml:space="preserve"> fairly constant over the years.  Three examples are </w:t>
      </w:r>
      <w:r w:rsidR="00372A4B">
        <w:rPr>
          <w:rFonts w:eastAsiaTheme="minorHAnsi"/>
        </w:rPr>
        <w:t>“</w:t>
      </w:r>
      <w:r w:rsidR="00741807">
        <w:rPr>
          <w:rFonts w:eastAsiaTheme="minorHAnsi"/>
        </w:rPr>
        <w:t>HVAC Motors</w:t>
      </w:r>
      <w:r w:rsidR="00372A4B">
        <w:rPr>
          <w:rFonts w:eastAsiaTheme="minorHAnsi"/>
        </w:rPr>
        <w:t>”</w:t>
      </w:r>
      <w:r w:rsidR="00741807">
        <w:rPr>
          <w:rFonts w:eastAsiaTheme="minorHAnsi"/>
        </w:rPr>
        <w:t xml:space="preserve"> targeted at New Construction through Building Design Incentives, </w:t>
      </w:r>
      <w:r w:rsidR="00372A4B">
        <w:rPr>
          <w:rFonts w:eastAsiaTheme="minorHAnsi"/>
        </w:rPr>
        <w:t>“</w:t>
      </w:r>
      <w:r w:rsidR="00741807">
        <w:rPr>
          <w:rFonts w:eastAsiaTheme="minorHAnsi"/>
        </w:rPr>
        <w:t>Window Film</w:t>
      </w:r>
      <w:r w:rsidR="00372A4B">
        <w:rPr>
          <w:rFonts w:eastAsiaTheme="minorHAnsi"/>
        </w:rPr>
        <w:t>”</w:t>
      </w:r>
      <w:r w:rsidR="00741807">
        <w:rPr>
          <w:rFonts w:eastAsiaTheme="minorHAnsi"/>
        </w:rPr>
        <w:t xml:space="preserve"> aimed at small hard-to-reach commercial through Direct Install, and </w:t>
      </w:r>
      <w:r w:rsidR="00372A4B">
        <w:rPr>
          <w:rFonts w:eastAsiaTheme="minorHAnsi"/>
        </w:rPr>
        <w:t xml:space="preserve">“HVAC/Economizer Controls” also intended for small hard-to-reach commercial through Direct Install.   The two direct install EEMs </w:t>
      </w:r>
      <w:r w:rsidR="006C7E47">
        <w:rPr>
          <w:rFonts w:eastAsiaTheme="minorHAnsi"/>
        </w:rPr>
        <w:t xml:space="preserve">were </w:t>
      </w:r>
      <w:r w:rsidR="00372A4B">
        <w:rPr>
          <w:rFonts w:eastAsiaTheme="minorHAnsi"/>
        </w:rPr>
        <w:t xml:space="preserve">assigned </w:t>
      </w:r>
      <w:r w:rsidR="006C7E47">
        <w:rPr>
          <w:rFonts w:eastAsiaTheme="minorHAnsi"/>
        </w:rPr>
        <w:t xml:space="preserve">an </w:t>
      </w:r>
      <w:r w:rsidR="00372A4B">
        <w:rPr>
          <w:rFonts w:eastAsiaTheme="minorHAnsi"/>
        </w:rPr>
        <w:t>NTGR of 0.80 prior to the ’04-’05 studies.  The ’04-’05 studies determined a 0.85 NTGR value for the direct install approach and the 2008 DEER Update adopted it for these EEMs.  The “HVAC Motors” new construction EEM NTGR value has remained within a very narrow band of 0.82</w:t>
      </w:r>
      <w:r w:rsidR="009D71B3">
        <w:rPr>
          <w:rFonts w:eastAsiaTheme="minorHAnsi"/>
        </w:rPr>
        <w:t>,</w:t>
      </w:r>
      <w:r w:rsidR="00372A4B">
        <w:rPr>
          <w:rFonts w:eastAsiaTheme="minorHAnsi"/>
        </w:rPr>
        <w:t xml:space="preserve"> prior to the ’04-’05 studies</w:t>
      </w:r>
      <w:r w:rsidR="009D71B3">
        <w:rPr>
          <w:rFonts w:eastAsiaTheme="minorHAnsi"/>
        </w:rPr>
        <w:t>, to 0.84 determined through the ’04-’05 evaluations and adopted in the 2008 DEER Update.</w:t>
      </w:r>
      <w:r w:rsidR="00D444F2">
        <w:rPr>
          <w:rFonts w:eastAsiaTheme="minorHAnsi"/>
        </w:rPr>
        <w:t xml:space="preserve">  These trends </w:t>
      </w:r>
      <w:r w:rsidR="00026357">
        <w:rPr>
          <w:rFonts w:eastAsiaTheme="minorHAnsi"/>
        </w:rPr>
        <w:t xml:space="preserve">appear to </w:t>
      </w:r>
      <w:r w:rsidR="00D444F2">
        <w:rPr>
          <w:rFonts w:eastAsiaTheme="minorHAnsi"/>
        </w:rPr>
        <w:t xml:space="preserve">indicate that the general, “catch-all” </w:t>
      </w:r>
      <w:r w:rsidR="00026357">
        <w:rPr>
          <w:rFonts w:eastAsiaTheme="minorHAnsi"/>
        </w:rPr>
        <w:t xml:space="preserve">non-residential HVAC </w:t>
      </w:r>
      <w:r w:rsidR="00D444F2">
        <w:rPr>
          <w:rFonts w:eastAsiaTheme="minorHAnsi"/>
        </w:rPr>
        <w:t xml:space="preserve">EEM categories associated with either Prescriptive Incentives or Customized Incentives have declined over time while the equipment </w:t>
      </w:r>
      <w:r w:rsidR="00026357">
        <w:rPr>
          <w:rFonts w:eastAsiaTheme="minorHAnsi"/>
        </w:rPr>
        <w:t xml:space="preserve">specific EEMs have remained nearly constant.  </w:t>
      </w:r>
      <w:r w:rsidR="001D0AF7">
        <w:rPr>
          <w:rFonts w:eastAsiaTheme="minorHAnsi"/>
        </w:rPr>
        <w:t>I</w:t>
      </w:r>
      <w:r w:rsidR="000E6E55">
        <w:rPr>
          <w:rFonts w:eastAsiaTheme="minorHAnsi"/>
        </w:rPr>
        <w:t xml:space="preserve">n </w:t>
      </w:r>
      <w:r w:rsidR="00AD0738">
        <w:rPr>
          <w:rFonts w:eastAsiaTheme="minorHAnsi"/>
        </w:rPr>
        <w:t xml:space="preserve">large </w:t>
      </w:r>
      <w:r w:rsidR="000E6E55">
        <w:rPr>
          <w:rFonts w:eastAsiaTheme="minorHAnsi"/>
        </w:rPr>
        <w:t>part, the most dramatic NTGR declines are due to a shift away from the earl</w:t>
      </w:r>
      <w:r w:rsidR="006F3E85">
        <w:rPr>
          <w:rFonts w:eastAsiaTheme="minorHAnsi"/>
        </w:rPr>
        <w:t>ier</w:t>
      </w:r>
      <w:r w:rsidR="000E6E55">
        <w:rPr>
          <w:rFonts w:eastAsiaTheme="minorHAnsi"/>
        </w:rPr>
        <w:t xml:space="preserve"> approach of assigning an NTGR value to a program as a whole with no regard to the underlying EEMs to determining measure </w:t>
      </w:r>
      <w:r w:rsidR="00AD0738">
        <w:rPr>
          <w:rFonts w:eastAsiaTheme="minorHAnsi"/>
        </w:rPr>
        <w:t xml:space="preserve">specific </w:t>
      </w:r>
      <w:r w:rsidR="000E6E55">
        <w:rPr>
          <w:rFonts w:eastAsiaTheme="minorHAnsi"/>
        </w:rPr>
        <w:t>NTGR values per delivery me</w:t>
      </w:r>
      <w:r w:rsidR="006C7E47">
        <w:rPr>
          <w:rFonts w:eastAsiaTheme="minorHAnsi"/>
        </w:rPr>
        <w:t>thod</w:t>
      </w:r>
      <w:r w:rsidR="000E6E55">
        <w:rPr>
          <w:rFonts w:eastAsiaTheme="minorHAnsi"/>
        </w:rPr>
        <w:t xml:space="preserve"> and market segments</w:t>
      </w:r>
      <w:r w:rsidR="009A0BD3">
        <w:rPr>
          <w:rFonts w:eastAsiaTheme="minorHAnsi"/>
        </w:rPr>
        <w:t xml:space="preserve"> since the ’04-’05 evaluation studies</w:t>
      </w:r>
      <w:r w:rsidR="000E6E55">
        <w:rPr>
          <w:rFonts w:eastAsiaTheme="minorHAnsi"/>
        </w:rPr>
        <w:t>.</w:t>
      </w:r>
      <w:r w:rsidR="00AD0738">
        <w:rPr>
          <w:rFonts w:eastAsiaTheme="minorHAnsi"/>
        </w:rPr>
        <w:t xml:space="preserve">  </w:t>
      </w:r>
    </w:p>
    <w:p w:rsidR="00B253DF" w:rsidRPr="00312DEB" w:rsidRDefault="00F35612" w:rsidP="00312DEB">
      <w:pPr>
        <w:pStyle w:val="Heading2"/>
        <w:rPr>
          <w:rFonts w:eastAsiaTheme="minorHAnsi"/>
        </w:rPr>
      </w:pPr>
      <w:r w:rsidRPr="00312DEB">
        <w:rPr>
          <w:rFonts w:eastAsiaTheme="minorHAnsi"/>
        </w:rPr>
        <w:t>Recommended</w:t>
      </w:r>
      <w:r w:rsidR="00197A2E" w:rsidRPr="00312DEB">
        <w:rPr>
          <w:rFonts w:eastAsiaTheme="minorHAnsi"/>
        </w:rPr>
        <w:t xml:space="preserve"> NTGR</w:t>
      </w:r>
      <w:r w:rsidRPr="00312DEB">
        <w:rPr>
          <w:rFonts w:eastAsiaTheme="minorHAnsi"/>
        </w:rPr>
        <w:t xml:space="preserve"> Values for Future Programs</w:t>
      </w:r>
    </w:p>
    <w:p w:rsidR="00226D32" w:rsidRPr="00C864BA" w:rsidRDefault="00FA33D2" w:rsidP="00B253DF">
      <w:pPr>
        <w:rPr>
          <w:rFonts w:eastAsiaTheme="minorHAnsi"/>
        </w:rPr>
      </w:pPr>
      <w:r>
        <w:rPr>
          <w:rFonts w:eastAsiaTheme="minorHAnsi"/>
        </w:rPr>
        <w:t xml:space="preserve">Once the effect of shifting from program centric NTGR values to measure and delivery method NTGR values is discounted, the NTGR values for HVAC measures have remained within a narrow range.  </w:t>
      </w:r>
      <w:r w:rsidR="008D0B3A">
        <w:rPr>
          <w:rFonts w:eastAsiaTheme="minorHAnsi"/>
        </w:rPr>
        <w:t>The</w:t>
      </w:r>
      <w:r w:rsidR="00B253DF">
        <w:rPr>
          <w:rFonts w:eastAsiaTheme="minorHAnsi"/>
        </w:rPr>
        <w:t xml:space="preserve"> </w:t>
      </w:r>
      <w:r w:rsidR="00AB7326">
        <w:rPr>
          <w:rFonts w:eastAsiaTheme="minorHAnsi"/>
        </w:rPr>
        <w:t>DEER</w:t>
      </w:r>
      <w:r w:rsidR="006C7E47">
        <w:rPr>
          <w:rFonts w:eastAsiaTheme="minorHAnsi"/>
        </w:rPr>
        <w:t xml:space="preserve"> </w:t>
      </w:r>
      <w:r w:rsidR="00B253DF">
        <w:rPr>
          <w:rFonts w:eastAsiaTheme="minorHAnsi"/>
        </w:rPr>
        <w:t xml:space="preserve">team </w:t>
      </w:r>
      <w:r w:rsidR="006C7E47">
        <w:rPr>
          <w:rFonts w:eastAsiaTheme="minorHAnsi"/>
        </w:rPr>
        <w:t xml:space="preserve">believes that </w:t>
      </w:r>
      <w:r w:rsidR="00B253DF">
        <w:rPr>
          <w:rFonts w:eastAsiaTheme="minorHAnsi"/>
        </w:rPr>
        <w:t xml:space="preserve">there is </w:t>
      </w:r>
      <w:r w:rsidR="006C7E47">
        <w:rPr>
          <w:rFonts w:eastAsiaTheme="minorHAnsi"/>
        </w:rPr>
        <w:t xml:space="preserve">inadequate information </w:t>
      </w:r>
      <w:r w:rsidR="00BF3922">
        <w:rPr>
          <w:rFonts w:eastAsiaTheme="minorHAnsi"/>
        </w:rPr>
        <w:t xml:space="preserve">to </w:t>
      </w:r>
      <w:r w:rsidR="006C7E47">
        <w:rPr>
          <w:rFonts w:eastAsiaTheme="minorHAnsi"/>
        </w:rPr>
        <w:t xml:space="preserve">make any significant adjustments to the recommended </w:t>
      </w:r>
      <w:r w:rsidR="00B253DF">
        <w:rPr>
          <w:rFonts w:eastAsiaTheme="minorHAnsi"/>
        </w:rPr>
        <w:t xml:space="preserve">NTGR values </w:t>
      </w:r>
      <w:r w:rsidR="006C7E47">
        <w:rPr>
          <w:rFonts w:eastAsiaTheme="minorHAnsi"/>
        </w:rPr>
        <w:t xml:space="preserve">we have derived </w:t>
      </w:r>
      <w:r w:rsidR="00B253DF">
        <w:rPr>
          <w:rFonts w:eastAsiaTheme="minorHAnsi"/>
        </w:rPr>
        <w:t>from the 2006</w:t>
      </w:r>
      <w:r w:rsidR="00BF3922">
        <w:rPr>
          <w:rFonts w:eastAsiaTheme="minorHAnsi"/>
        </w:rPr>
        <w:t xml:space="preserve"> - 2008</w:t>
      </w:r>
      <w:r w:rsidR="00B253DF">
        <w:rPr>
          <w:rFonts w:eastAsiaTheme="minorHAnsi"/>
        </w:rPr>
        <w:t xml:space="preserve"> </w:t>
      </w:r>
      <w:r w:rsidR="00BF3922">
        <w:rPr>
          <w:rFonts w:eastAsiaTheme="minorHAnsi"/>
        </w:rPr>
        <w:t>evaluations</w:t>
      </w:r>
      <w:r w:rsidR="00B253DF">
        <w:rPr>
          <w:rFonts w:eastAsiaTheme="minorHAnsi"/>
        </w:rPr>
        <w:t xml:space="preserve">. </w:t>
      </w:r>
      <w:r w:rsidR="00BF3922">
        <w:rPr>
          <w:rFonts w:eastAsiaTheme="minorHAnsi"/>
        </w:rPr>
        <w:t xml:space="preserve"> </w:t>
      </w:r>
      <w:r w:rsidR="00B253DF">
        <w:rPr>
          <w:rFonts w:eastAsiaTheme="minorHAnsi"/>
        </w:rPr>
        <w:t>Thus</w:t>
      </w:r>
      <w:r w:rsidR="006C7E47">
        <w:rPr>
          <w:rFonts w:eastAsiaTheme="minorHAnsi"/>
        </w:rPr>
        <w:t>,</w:t>
      </w:r>
      <w:r w:rsidR="00AB7326">
        <w:rPr>
          <w:rFonts w:eastAsiaTheme="minorHAnsi"/>
        </w:rPr>
        <w:t xml:space="preserve"> the Team</w:t>
      </w:r>
      <w:r w:rsidR="00B253DF">
        <w:rPr>
          <w:rFonts w:eastAsiaTheme="minorHAnsi"/>
        </w:rPr>
        <w:t xml:space="preserve"> recommend</w:t>
      </w:r>
      <w:r w:rsidR="00AB7326">
        <w:rPr>
          <w:rFonts w:eastAsiaTheme="minorHAnsi"/>
        </w:rPr>
        <w:t>s</w:t>
      </w:r>
      <w:r w:rsidR="00B253DF">
        <w:rPr>
          <w:rFonts w:eastAsiaTheme="minorHAnsi"/>
        </w:rPr>
        <w:t xml:space="preserve"> </w:t>
      </w:r>
      <w:r w:rsidR="006C7E47">
        <w:rPr>
          <w:rFonts w:eastAsiaTheme="minorHAnsi"/>
        </w:rPr>
        <w:t xml:space="preserve">that </w:t>
      </w:r>
      <w:r w:rsidR="00B253DF">
        <w:rPr>
          <w:rFonts w:eastAsiaTheme="minorHAnsi"/>
        </w:rPr>
        <w:t xml:space="preserve">no adjustments be made to the NTGR values presented in </w:t>
      </w:r>
      <w:r w:rsidR="0051453E">
        <w:rPr>
          <w:rFonts w:eastAsiaTheme="minorHAnsi"/>
        </w:rPr>
        <w:fldChar w:fldCharType="begin"/>
      </w:r>
      <w:r w:rsidR="00EE2CB8">
        <w:rPr>
          <w:rFonts w:eastAsiaTheme="minorHAnsi"/>
        </w:rPr>
        <w:instrText xml:space="preserve"> REF _Ref305704678 \h </w:instrText>
      </w:r>
      <w:r w:rsidR="0051453E">
        <w:rPr>
          <w:rFonts w:eastAsiaTheme="minorHAnsi"/>
        </w:rPr>
      </w:r>
      <w:r w:rsidR="0051453E">
        <w:rPr>
          <w:rFonts w:eastAsiaTheme="minorHAnsi"/>
        </w:rPr>
        <w:fldChar w:fldCharType="separate"/>
      </w:r>
      <w:r w:rsidR="005372DA">
        <w:t xml:space="preserve">Table </w:t>
      </w:r>
      <w:r w:rsidR="005372DA">
        <w:rPr>
          <w:noProof/>
        </w:rPr>
        <w:t>10</w:t>
      </w:r>
      <w:r w:rsidR="005372DA">
        <w:noBreakHyphen/>
      </w:r>
      <w:r w:rsidR="005372DA">
        <w:rPr>
          <w:noProof/>
        </w:rPr>
        <w:t>6</w:t>
      </w:r>
      <w:r w:rsidR="0051453E">
        <w:rPr>
          <w:rFonts w:eastAsiaTheme="minorHAnsi"/>
        </w:rPr>
        <w:fldChar w:fldCharType="end"/>
      </w:r>
      <w:r w:rsidR="00982C9F">
        <w:rPr>
          <w:rFonts w:eastAsiaTheme="minorHAnsi"/>
        </w:rPr>
        <w:t xml:space="preserve"> to account for potential market changes from now to 2013</w:t>
      </w:r>
      <w:r w:rsidR="008D0B3A">
        <w:rPr>
          <w:rFonts w:eastAsiaTheme="minorHAnsi"/>
        </w:rPr>
        <w:t>.</w:t>
      </w:r>
    </w:p>
    <w:sectPr w:rsidR="00226D32" w:rsidRPr="00C864BA" w:rsidSect="00C864BA">
      <w:headerReference w:type="default" r:id="rId11"/>
      <w:footerReference w:type="default" r:id="rId12"/>
      <w:headerReference w:type="first" r:id="rId13"/>
      <w:footerReference w:type="first" r:id="rId14"/>
      <w:pgSz w:w="12240" w:h="15840" w:code="1"/>
      <w:pgMar w:top="1440" w:right="1440" w:bottom="1440" w:left="1440" w:header="720" w:footer="720" w:gutter="0"/>
      <w:pgNumType w:chapStyle="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1EC5" w:rsidRDefault="00661EC5" w:rsidP="00B253DF">
      <w:pPr>
        <w:spacing w:after="0" w:line="240" w:lineRule="auto"/>
      </w:pPr>
      <w:r>
        <w:separator/>
      </w:r>
    </w:p>
  </w:endnote>
  <w:endnote w:type="continuationSeparator" w:id="0">
    <w:p w:rsidR="00661EC5" w:rsidRDefault="00661EC5" w:rsidP="00B253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Direct Install">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EC5" w:rsidRDefault="00661EC5" w:rsidP="00C864BA">
    <w:pPr>
      <w:pStyle w:val="Footer"/>
      <w:tabs>
        <w:tab w:val="clear" w:pos="4680"/>
        <w:tab w:val="center" w:pos="4500"/>
        <w:tab w:val="right" w:pos="12960"/>
      </w:tabs>
    </w:pPr>
    <w:r>
      <w:t>Itron, Inc.</w:t>
    </w:r>
    <w:r>
      <w:tab/>
    </w:r>
    <w:fldSimple w:instr=" PAGE   \* MERGEFORMAT ">
      <w:r w:rsidR="005372DA">
        <w:rPr>
          <w:noProof/>
        </w:rPr>
        <w:t>10-2</w:t>
      </w:r>
    </w:fldSimple>
    <w:r>
      <w:tab/>
    </w:r>
    <w:r w:rsidRPr="000935BD">
      <w:t>Updates</w:t>
    </w:r>
    <w:r>
      <w:t>:</w:t>
    </w:r>
    <w:r w:rsidRPr="000935BD">
      <w:t xml:space="preserve"> </w:t>
    </w:r>
    <w:r>
      <w:t>NTGR-</w:t>
    </w:r>
    <w:r w:rsidRPr="000935BD">
      <w:t>HVAC &amp; Building Envelopes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EC5" w:rsidRDefault="00661EC5" w:rsidP="00C864BA">
    <w:pPr>
      <w:pStyle w:val="Footer"/>
      <w:tabs>
        <w:tab w:val="clear" w:pos="4680"/>
        <w:tab w:val="center" w:pos="4500"/>
        <w:tab w:val="right" w:pos="12960"/>
      </w:tabs>
    </w:pPr>
    <w:r>
      <w:t>Itron, Inc.</w:t>
    </w:r>
    <w:r>
      <w:tab/>
    </w:r>
    <w:fldSimple w:instr=" PAGE   \* MERGEFORMAT ">
      <w:r w:rsidR="005372DA">
        <w:rPr>
          <w:noProof/>
        </w:rPr>
        <w:t>10-1</w:t>
      </w:r>
    </w:fldSimple>
    <w:r>
      <w:tab/>
    </w:r>
    <w:r w:rsidRPr="000935BD">
      <w:t>Updates</w:t>
    </w:r>
    <w:r>
      <w:t>:</w:t>
    </w:r>
    <w:r w:rsidRPr="000935BD">
      <w:t xml:space="preserve"> </w:t>
    </w:r>
    <w:r>
      <w:t>NTGR-</w:t>
    </w:r>
    <w:r w:rsidRPr="000935BD">
      <w:t>HVAC &amp; Building Envelopes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1EC5" w:rsidRDefault="00661EC5" w:rsidP="00B253DF">
      <w:pPr>
        <w:spacing w:after="0" w:line="240" w:lineRule="auto"/>
      </w:pPr>
      <w:r>
        <w:separator/>
      </w:r>
    </w:p>
  </w:footnote>
  <w:footnote w:type="continuationSeparator" w:id="0">
    <w:p w:rsidR="00661EC5" w:rsidRDefault="00661EC5" w:rsidP="00B253DF">
      <w:pPr>
        <w:spacing w:after="0" w:line="240" w:lineRule="auto"/>
      </w:pPr>
      <w:r>
        <w:continuationSeparator/>
      </w:r>
    </w:p>
  </w:footnote>
  <w:footnote w:id="1">
    <w:p w:rsidR="00661EC5" w:rsidRPr="00661EC5" w:rsidRDefault="00661EC5" w:rsidP="00312DEB">
      <w:pPr>
        <w:pStyle w:val="FootnoteText"/>
      </w:pPr>
      <w:r w:rsidRPr="00A13A3F">
        <w:rPr>
          <w:rStyle w:val="FootnoteReference"/>
        </w:rPr>
        <w:footnoteRef/>
      </w:r>
      <w:r w:rsidRPr="00A13A3F">
        <w:t xml:space="preserve"> </w:t>
      </w:r>
      <w:r>
        <w:tab/>
      </w:r>
      <w:r w:rsidRPr="00312DEB">
        <w:t>Evaluation Measurement and Verification of the California Public Utilities Commission HVAC High Impact Measures and Specialized Commercial Contract Group Programs, 2006 – 2008 Program Year, Final Consultant Report, Volumes 1 and 2, KEMA, February 10, 2010.</w:t>
      </w:r>
    </w:p>
  </w:footnote>
  <w:footnote w:id="2">
    <w:p w:rsidR="00661EC5" w:rsidRDefault="00661EC5" w:rsidP="00312DEB">
      <w:pPr>
        <w:pStyle w:val="FootnoteText"/>
      </w:pPr>
      <w:r>
        <w:rPr>
          <w:rStyle w:val="FootnoteReference"/>
        </w:rPr>
        <w:footnoteRef/>
      </w:r>
      <w:r>
        <w:t xml:space="preserve"> </w:t>
      </w:r>
      <w:r>
        <w:tab/>
      </w:r>
      <w:r w:rsidRPr="00614BA7">
        <w:t>Impact and Process Evaluation Final Report for QuEST's 2004-05 Building Tune-Up Program</w:t>
      </w:r>
      <w:r>
        <w:t>, SBW Consulting, Inc.; March 22, 2007.</w:t>
      </w:r>
    </w:p>
  </w:footnote>
  <w:footnote w:id="3">
    <w:p w:rsidR="00661EC5" w:rsidRPr="00614BA7" w:rsidRDefault="00661EC5" w:rsidP="00312DEB">
      <w:pPr>
        <w:pStyle w:val="FootnoteText"/>
      </w:pPr>
      <w:r>
        <w:rPr>
          <w:rStyle w:val="FootnoteReference"/>
        </w:rPr>
        <w:footnoteRef/>
      </w:r>
      <w:r>
        <w:t xml:space="preserve"> </w:t>
      </w:r>
      <w:r>
        <w:tab/>
      </w:r>
      <w:r w:rsidRPr="00614BA7">
        <w:t xml:space="preserve">San Diego </w:t>
      </w:r>
      <w:r>
        <w:t xml:space="preserve">Gas and Electric </w:t>
      </w:r>
      <w:r w:rsidRPr="00614BA7">
        <w:t xml:space="preserve">Retrocommissioning Program, </w:t>
      </w:r>
      <w:r>
        <w:t xml:space="preserve">Final </w:t>
      </w:r>
      <w:r w:rsidRPr="00614BA7">
        <w:t>Report</w:t>
      </w:r>
      <w:r>
        <w:t>; Submitted to Portland Energy Conservation, Inc.; Submitted by Itron, Inc.; December 8, 2008.</w:t>
      </w:r>
    </w:p>
  </w:footnote>
  <w:footnote w:id="4">
    <w:p w:rsidR="00661EC5" w:rsidRDefault="00661EC5" w:rsidP="00312DEB">
      <w:pPr>
        <w:pStyle w:val="FootnoteText"/>
      </w:pPr>
      <w:r>
        <w:rPr>
          <w:rStyle w:val="FootnoteReference"/>
        </w:rPr>
        <w:footnoteRef/>
      </w:r>
      <w:r>
        <w:t xml:space="preserve"> </w:t>
      </w:r>
      <w:r>
        <w:tab/>
      </w:r>
      <w:r w:rsidRPr="00656242">
        <w:t>2006 – 08 Retro-Commissioning Impact Evaluation, Final Report, SBW Consulting, Inc., February 8, 2010</w:t>
      </w:r>
      <w:r>
        <w:t>.</w:t>
      </w:r>
    </w:p>
  </w:footnote>
  <w:footnote w:id="5">
    <w:p w:rsidR="00661EC5" w:rsidRPr="0031286E" w:rsidRDefault="00661EC5" w:rsidP="00312DEB">
      <w:pPr>
        <w:pStyle w:val="FootnoteText"/>
      </w:pPr>
      <w:r>
        <w:rPr>
          <w:rStyle w:val="FootnoteReference"/>
        </w:rPr>
        <w:footnoteRef/>
      </w:r>
      <w:r>
        <w:t xml:space="preserve"> </w:t>
      </w:r>
      <w:r>
        <w:tab/>
        <w:t>2004 – 2005 Statewide Nonresidential</w:t>
      </w:r>
      <w:r w:rsidRPr="0031286E">
        <w:t xml:space="preserve"> </w:t>
      </w:r>
      <w:r>
        <w:t>Standard Performance Contract</w:t>
      </w:r>
      <w:r w:rsidRPr="0031286E">
        <w:t xml:space="preserve"> </w:t>
      </w:r>
      <w:r>
        <w:t>P</w:t>
      </w:r>
      <w:r w:rsidRPr="0031286E">
        <w:t xml:space="preserve">rogram </w:t>
      </w:r>
      <w:r>
        <w:t xml:space="preserve">Measurement and </w:t>
      </w:r>
      <w:r w:rsidRPr="0031286E">
        <w:t xml:space="preserve">Evaluation </w:t>
      </w:r>
      <w:r>
        <w:t>Study; Impact, Process, and Market Evaluation – Final Report; Submitted to Southern California Edison Company, Submitted by Itron, Inc.; September 30, 2008.</w:t>
      </w:r>
    </w:p>
  </w:footnote>
  <w:footnote w:id="6">
    <w:p w:rsidR="00661EC5" w:rsidRDefault="00661EC5" w:rsidP="00312DEB">
      <w:pPr>
        <w:pStyle w:val="FootnoteText"/>
      </w:pPr>
      <w:r>
        <w:rPr>
          <w:rStyle w:val="FootnoteReference"/>
        </w:rPr>
        <w:footnoteRef/>
      </w:r>
      <w:r>
        <w:t xml:space="preserve"> </w:t>
      </w:r>
      <w:r>
        <w:tab/>
      </w:r>
      <w:r w:rsidRPr="000319BE">
        <w:t>Major Commercial Contract Group, Volume I, Final Impact Evaluation Report, 2006 – 2008 Prog</w:t>
      </w:r>
      <w:r>
        <w:t>ram Years, SBW Consulting, Inc.;</w:t>
      </w:r>
      <w:r w:rsidRPr="000319BE">
        <w:t xml:space="preserve"> February 10, 2010</w:t>
      </w:r>
      <w:r>
        <w:t>.</w:t>
      </w:r>
    </w:p>
  </w:footnote>
  <w:footnote w:id="7">
    <w:p w:rsidR="00661EC5" w:rsidRDefault="00661EC5" w:rsidP="00312DEB">
      <w:pPr>
        <w:pStyle w:val="FootnoteText"/>
      </w:pPr>
      <w:r>
        <w:rPr>
          <w:rStyle w:val="FootnoteReference"/>
        </w:rPr>
        <w:footnoteRef/>
      </w:r>
      <w:r>
        <w:t xml:space="preserve"> </w:t>
      </w:r>
      <w:r>
        <w:tab/>
      </w:r>
      <w:r w:rsidRPr="007B5E0F">
        <w:t>2004</w:t>
      </w:r>
      <w:r>
        <w:t>/</w:t>
      </w:r>
      <w:r w:rsidRPr="007B5E0F">
        <w:t xml:space="preserve">2005 </w:t>
      </w:r>
      <w:r>
        <w:t>Statewide Express Efficiency and Upstream HVAC Program Impact Evaluation</w:t>
      </w:r>
      <w:r w:rsidRPr="007B5E0F">
        <w:t xml:space="preserve">, </w:t>
      </w:r>
      <w:r>
        <w:t xml:space="preserve">Prepared for the </w:t>
      </w:r>
      <w:r w:rsidRPr="007B5E0F">
        <w:t xml:space="preserve">California Public Utilities Commission </w:t>
      </w:r>
      <w:r>
        <w:t>and California’s Investor Owned Utilities,</w:t>
      </w:r>
      <w:r w:rsidRPr="007B5E0F">
        <w:t xml:space="preserve"> Submitted by Itron, Inc.; </w:t>
      </w:r>
      <w:r>
        <w:t>December</w:t>
      </w:r>
      <w:r w:rsidRPr="007B5E0F">
        <w:t xml:space="preserve"> </w:t>
      </w:r>
      <w:r>
        <w:t>31</w:t>
      </w:r>
      <w:r w:rsidRPr="007B5E0F">
        <w:t>, 2008.</w:t>
      </w:r>
    </w:p>
  </w:footnote>
  <w:footnote w:id="8">
    <w:p w:rsidR="00661EC5" w:rsidRDefault="00661EC5" w:rsidP="00312DEB">
      <w:pPr>
        <w:pStyle w:val="FootnoteText"/>
      </w:pPr>
      <w:r>
        <w:rPr>
          <w:rStyle w:val="FootnoteReference"/>
        </w:rPr>
        <w:footnoteRef/>
      </w:r>
      <w:r>
        <w:tab/>
      </w:r>
      <w:r w:rsidRPr="00614BA7">
        <w:t>Impact and Process Evaluation Final Report for QuEST's 2004-05 Building Tune-Up Program</w:t>
      </w:r>
      <w:r>
        <w:t>, SBW Consulting, Inc.; March 22, 2007.</w:t>
      </w:r>
    </w:p>
  </w:footnote>
  <w:footnote w:id="9">
    <w:p w:rsidR="00661EC5" w:rsidRDefault="00661EC5" w:rsidP="00312DEB">
      <w:pPr>
        <w:pStyle w:val="FootnoteText"/>
      </w:pPr>
      <w:r>
        <w:rPr>
          <w:rStyle w:val="FootnoteReference"/>
        </w:rPr>
        <w:footnoteRef/>
      </w:r>
      <w:r>
        <w:tab/>
      </w:r>
      <w:r w:rsidRPr="00614BA7">
        <w:t xml:space="preserve">San Diego </w:t>
      </w:r>
      <w:r>
        <w:t xml:space="preserve">Gas and Electric </w:t>
      </w:r>
      <w:r w:rsidRPr="00614BA7">
        <w:t xml:space="preserve">Retrocommissioning Program, </w:t>
      </w:r>
      <w:r>
        <w:t xml:space="preserve">Final </w:t>
      </w:r>
      <w:r w:rsidRPr="00614BA7">
        <w:t>Report</w:t>
      </w:r>
      <w:r>
        <w:t>; Submitted to Portland Energy Conservation, Inc.; Submitted by Itron, Inc.; December 8, 2008.</w:t>
      </w:r>
    </w:p>
  </w:footnote>
  <w:footnote w:id="10">
    <w:p w:rsidR="00661EC5" w:rsidRPr="00AA495D" w:rsidRDefault="00661EC5" w:rsidP="00312DEB">
      <w:pPr>
        <w:pStyle w:val="FootnoteText"/>
      </w:pPr>
      <w:r>
        <w:rPr>
          <w:rStyle w:val="FootnoteReference"/>
        </w:rPr>
        <w:footnoteRef/>
      </w:r>
      <w:r>
        <w:t xml:space="preserve"> </w:t>
      </w:r>
      <w:r>
        <w:tab/>
        <w:t>The self report bias adder originated from a 2001 study entitled “Improving the Standard Performance Contracting [sic] Program: An Examination of historical Evidence and Directions for the Future,” Xenergy, Inc.  The draft 2008 NTFR summary report indicates</w:t>
      </w:r>
      <w:r w:rsidRPr="0086676C">
        <w:t xml:space="preserve"> that this adjustment was intended to be temporary.  According to the 2001 Xenergy Study, the adjustment arises from applying different NTG methodologies, Self-Report, Discrete Choice, etc., to the same population with the result that the Self-Report Approach is typically 0.10 or more</w:t>
      </w:r>
      <w:r>
        <w:t>,</w:t>
      </w:r>
      <w:r w:rsidRPr="0086676C">
        <w:t xml:space="preserve"> lower than other methods.</w:t>
      </w:r>
      <w:r>
        <w:t xml:space="preserve">  </w:t>
      </w:r>
    </w:p>
  </w:footnote>
  <w:footnote w:id="11">
    <w:p w:rsidR="00661EC5" w:rsidRDefault="00661EC5" w:rsidP="00312DEB">
      <w:pPr>
        <w:pStyle w:val="FootnoteText"/>
      </w:pPr>
      <w:r>
        <w:rPr>
          <w:rStyle w:val="FootnoteReference"/>
        </w:rPr>
        <w:footnoteRef/>
      </w:r>
      <w:r>
        <w:tab/>
      </w:r>
      <w:r w:rsidRPr="007B5E0F">
        <w:t>2004</w:t>
      </w:r>
      <w:r>
        <w:t>/</w:t>
      </w:r>
      <w:r w:rsidRPr="007B5E0F">
        <w:t xml:space="preserve">2005 </w:t>
      </w:r>
      <w:r>
        <w:t>Statewide Express Efficiency and Upstream HVAC Program Impact Evaluation</w:t>
      </w:r>
      <w:r w:rsidRPr="007B5E0F">
        <w:t xml:space="preserve">, </w:t>
      </w:r>
      <w:r>
        <w:t xml:space="preserve">Prepared for the </w:t>
      </w:r>
      <w:r w:rsidRPr="007B5E0F">
        <w:t xml:space="preserve">California Public Utilities Commission </w:t>
      </w:r>
      <w:r>
        <w:t>and California’s Investor Owned Utilities,</w:t>
      </w:r>
      <w:r w:rsidRPr="007B5E0F">
        <w:t xml:space="preserve"> Submitted by Itron, Inc.; </w:t>
      </w:r>
      <w:r>
        <w:t>December</w:t>
      </w:r>
      <w:r w:rsidRPr="007B5E0F">
        <w:t xml:space="preserve"> </w:t>
      </w:r>
      <w:r>
        <w:t>31</w:t>
      </w:r>
      <w:r w:rsidRPr="007B5E0F">
        <w:t>, 2008.</w:t>
      </w:r>
    </w:p>
    <w:p w:rsidR="00661EC5" w:rsidRDefault="00661EC5" w:rsidP="00312DEB">
      <w:pPr>
        <w:pStyle w:val="FootnoteText"/>
      </w:pPr>
    </w:p>
  </w:footnote>
  <w:footnote w:id="12">
    <w:p w:rsidR="00661EC5" w:rsidRDefault="00661EC5" w:rsidP="00312DEB">
      <w:pPr>
        <w:pStyle w:val="FootnoteText"/>
      </w:pPr>
      <w:r>
        <w:rPr>
          <w:rStyle w:val="FootnoteReference"/>
        </w:rPr>
        <w:footnoteRef/>
      </w:r>
      <w:r>
        <w:t xml:space="preserve"> </w:t>
      </w:r>
      <w:r>
        <w:tab/>
        <w:t>From within Microsoft Word, y</w:t>
      </w:r>
      <w:r w:rsidRPr="0042761A">
        <w:t xml:space="preserve">ou </w:t>
      </w:r>
      <w:r>
        <w:t>may</w:t>
      </w:r>
      <w:r w:rsidRPr="0042761A">
        <w:t xml:space="preserve"> d</w:t>
      </w:r>
      <w:r w:rsidRPr="009D2BB3">
        <w:rPr>
          <w:rFonts w:eastAsiaTheme="minorHAnsi"/>
        </w:rPr>
        <w:t xml:space="preserve">ouble-click on </w:t>
      </w:r>
      <w:r>
        <w:rPr>
          <w:rFonts w:eastAsiaTheme="minorHAnsi"/>
        </w:rPr>
        <w:t>a</w:t>
      </w:r>
      <w:r w:rsidRPr="009D2BB3">
        <w:rPr>
          <w:rFonts w:eastAsiaTheme="minorHAnsi"/>
        </w:rPr>
        <w:t xml:space="preserve"> table </w:t>
      </w:r>
      <w:r>
        <w:rPr>
          <w:rFonts w:eastAsiaTheme="minorHAnsi"/>
        </w:rPr>
        <w:t xml:space="preserve">in Appendix B </w:t>
      </w:r>
      <w:r w:rsidRPr="009D2BB3">
        <w:rPr>
          <w:rFonts w:eastAsiaTheme="minorHAnsi"/>
        </w:rPr>
        <w:t xml:space="preserve">to launch the </w:t>
      </w:r>
      <w:r>
        <w:rPr>
          <w:rFonts w:eastAsiaTheme="minorHAnsi"/>
        </w:rPr>
        <w:t xml:space="preserve">spreadsheet </w:t>
      </w:r>
      <w:r w:rsidRPr="009D2BB3">
        <w:rPr>
          <w:rFonts w:eastAsiaTheme="minorHAnsi"/>
        </w:rPr>
        <w:t>application on your computer</w:t>
      </w:r>
      <w:r>
        <w:rPr>
          <w:rFonts w:eastAsiaTheme="minorHAnsi"/>
        </w:rPr>
        <w:t xml:space="preserve"> to examine the underlying formulas and calculations.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EC5" w:rsidRDefault="00661EC5">
    <w:pPr>
      <w:pStyle w:val="Header"/>
    </w:pPr>
    <w:r w:rsidRPr="0007387C">
      <w:t>Database for Energy Efficiency Resources: 2011 Update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4BA" w:rsidRDefault="00C864BA" w:rsidP="00C864BA">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0747692"/>
    <w:lvl w:ilvl="0">
      <w:start w:val="1"/>
      <w:numFmt w:val="bullet"/>
      <w:pStyle w:val="ListBullet2"/>
      <w:lvlText w:val="─"/>
      <w:lvlJc w:val="left"/>
      <w:pPr>
        <w:ind w:left="1800" w:hanging="360"/>
      </w:pPr>
      <w:rPr>
        <w:rFonts w:ascii="Times New Roman" w:hAnsi="Times New Roman" w:cs="Times New Roman" w:hint="default"/>
        <w:sz w:val="24"/>
      </w:rPr>
    </w:lvl>
  </w:abstractNum>
  <w:abstractNum w:abstractNumId="1">
    <w:nsid w:val="FFFFFFFB"/>
    <w:multiLevelType w:val="multilevel"/>
    <w:tmpl w:val="A1DE74C6"/>
    <w:lvl w:ilvl="0">
      <w:start w:val="10"/>
      <w:numFmt w:val="decimal"/>
      <w:pStyle w:val="Heading1"/>
      <w:suff w:val="nothing"/>
      <w:lvlText w:val="%1"/>
      <w:lvlJc w:val="left"/>
      <w:pPr>
        <w:ind w:left="0" w:firstLine="0"/>
      </w:pPr>
      <w:rPr>
        <w:rFonts w:ascii="Arial" w:hAnsi="Arial" w:hint="default"/>
        <w:b/>
        <w:i/>
        <w:sz w:val="72"/>
      </w:rPr>
    </w:lvl>
    <w:lvl w:ilvl="1">
      <w:start w:val="1"/>
      <w:numFmt w:val="decimal"/>
      <w:pStyle w:val="Heading2"/>
      <w:suff w:val="nothing"/>
      <w:lvlText w:val="%1.%2  "/>
      <w:lvlJc w:val="left"/>
      <w:pPr>
        <w:ind w:left="0" w:firstLine="0"/>
      </w:pPr>
      <w:rPr>
        <w:rFonts w:ascii="Arial" w:hAnsi="Arial" w:hint="default"/>
        <w:b/>
        <w:i w:val="0"/>
        <w:sz w:val="28"/>
      </w:rPr>
    </w:lvl>
    <w:lvl w:ilvl="2">
      <w:start w:val="1"/>
      <w:numFmt w:val="decimal"/>
      <w:pStyle w:val="Heading3"/>
      <w:suff w:val="nothing"/>
      <w:lvlText w:val="%1.%2.%3  "/>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
    <w:nsid w:val="1744527C"/>
    <w:multiLevelType w:val="multilevel"/>
    <w:tmpl w:val="67F0C0C4"/>
    <w:numStyleLink w:val="CnAListBullets"/>
  </w:abstractNum>
  <w:abstractNum w:abstractNumId="3">
    <w:nsid w:val="23750051"/>
    <w:multiLevelType w:val="multilevel"/>
    <w:tmpl w:val="67F0C0C4"/>
    <w:numStyleLink w:val="CnAListBullets"/>
  </w:abstractNum>
  <w:abstractNum w:abstractNumId="4">
    <w:nsid w:val="2A5707EA"/>
    <w:multiLevelType w:val="multilevel"/>
    <w:tmpl w:val="67F0C0C4"/>
    <w:styleLink w:val="CnAListBullets"/>
    <w:lvl w:ilvl="0">
      <w:start w:val="1"/>
      <w:numFmt w:val="bullet"/>
      <w:lvlText w:val=""/>
      <w:lvlJc w:val="left"/>
      <w:pPr>
        <w:ind w:left="720" w:hanging="432"/>
      </w:pPr>
      <w:rPr>
        <w:rFonts w:ascii="Wingdings" w:hAnsi="Wingdings" w:hint="default"/>
        <w:sz w:val="16"/>
      </w:rPr>
    </w:lvl>
    <w:lvl w:ilvl="1">
      <w:start w:val="1"/>
      <w:numFmt w:val="bullet"/>
      <w:lvlText w:val="─"/>
      <w:lvlJc w:val="left"/>
      <w:pPr>
        <w:ind w:left="1152" w:hanging="432"/>
      </w:pPr>
      <w:rPr>
        <w:rFonts w:ascii="Times New Roman" w:hAnsi="Times New Roman" w:cs="Times New Roman" w:hint="default"/>
        <w:b/>
        <w:sz w:val="24"/>
      </w:rPr>
    </w:lvl>
    <w:lvl w:ilvl="2">
      <w:start w:val="1"/>
      <w:numFmt w:val="bullet"/>
      <w:lvlText w:val="-"/>
      <w:lvlJc w:val="left"/>
      <w:pPr>
        <w:ind w:left="1584" w:hanging="432"/>
      </w:pPr>
      <w:rPr>
        <w:rFonts w:ascii="Times New Roman" w:hAnsi="Times New Roman" w:cs="Times New Roman" w:hint="default"/>
        <w:sz w:val="24"/>
      </w:rPr>
    </w:lvl>
    <w:lvl w:ilvl="3">
      <w:start w:val="1"/>
      <w:numFmt w:val="bullet"/>
      <w:lvlText w:val=""/>
      <w:lvlJc w:val="left"/>
      <w:pPr>
        <w:ind w:left="2016" w:hanging="432"/>
      </w:pPr>
      <w:rPr>
        <w:rFonts w:ascii="Symbol" w:hAnsi="Symbol" w:hint="default"/>
      </w:rPr>
    </w:lvl>
    <w:lvl w:ilvl="4">
      <w:start w:val="1"/>
      <w:numFmt w:val="bullet"/>
      <w:lvlText w:val=""/>
      <w:lvlJc w:val="left"/>
      <w:pPr>
        <w:ind w:left="2448" w:hanging="432"/>
      </w:pPr>
      <w:rPr>
        <w:rFonts w:ascii="Symbol" w:hAnsi="Symbol" w:hint="default"/>
      </w:rPr>
    </w:lvl>
    <w:lvl w:ilvl="5">
      <w:start w:val="1"/>
      <w:numFmt w:val="bullet"/>
      <w:lvlText w:val=""/>
      <w:lvlJc w:val="left"/>
      <w:pPr>
        <w:ind w:left="2880" w:hanging="432"/>
      </w:pPr>
      <w:rPr>
        <w:rFonts w:ascii="Wingdings" w:hAnsi="Wingdings" w:hint="default"/>
      </w:rPr>
    </w:lvl>
    <w:lvl w:ilvl="6">
      <w:start w:val="1"/>
      <w:numFmt w:val="bullet"/>
      <w:lvlText w:val=""/>
      <w:lvlJc w:val="left"/>
      <w:pPr>
        <w:ind w:left="3312" w:hanging="432"/>
      </w:pPr>
      <w:rPr>
        <w:rFonts w:ascii="Wingdings" w:hAnsi="Wingdings" w:hint="default"/>
      </w:rPr>
    </w:lvl>
    <w:lvl w:ilvl="7">
      <w:start w:val="1"/>
      <w:numFmt w:val="bullet"/>
      <w:lvlText w:val=""/>
      <w:lvlJc w:val="left"/>
      <w:pPr>
        <w:ind w:left="3744" w:hanging="432"/>
      </w:pPr>
      <w:rPr>
        <w:rFonts w:ascii="Symbol" w:hAnsi="Symbol" w:hint="default"/>
      </w:rPr>
    </w:lvl>
    <w:lvl w:ilvl="8">
      <w:start w:val="1"/>
      <w:numFmt w:val="bullet"/>
      <w:lvlText w:val=""/>
      <w:lvlJc w:val="left"/>
      <w:pPr>
        <w:ind w:left="4176" w:hanging="432"/>
      </w:pPr>
      <w:rPr>
        <w:rFonts w:ascii="Symbol" w:hAnsi="Symbol" w:hint="default"/>
      </w:rPr>
    </w:lvl>
  </w:abstractNum>
  <w:abstractNum w:abstractNumId="5">
    <w:nsid w:val="45A21EF9"/>
    <w:multiLevelType w:val="multilevel"/>
    <w:tmpl w:val="67F0C0C4"/>
    <w:numStyleLink w:val="CnAListBullets"/>
  </w:abstractNum>
  <w:abstractNum w:abstractNumId="6">
    <w:nsid w:val="69A8261D"/>
    <w:multiLevelType w:val="multilevel"/>
    <w:tmpl w:val="67F0C0C4"/>
    <w:numStyleLink w:val="CnAListBullets"/>
  </w:abstractNum>
  <w:abstractNum w:abstractNumId="7">
    <w:nsid w:val="6ABC0982"/>
    <w:multiLevelType w:val="multilevel"/>
    <w:tmpl w:val="04090021"/>
    <w:styleLink w:val="Itron"/>
    <w:lvl w:ilvl="0">
      <w:start w:val="1"/>
      <w:numFmt w:val="bullet"/>
      <w:lvlText w:val=""/>
      <w:lvlJc w:val="left"/>
      <w:pPr>
        <w:ind w:left="1080" w:hanging="360"/>
      </w:pPr>
      <w:rPr>
        <w:rFonts w:ascii="Wingdings" w:hAnsi="Wingdings"/>
      </w:rPr>
    </w:lvl>
    <w:lvl w:ilvl="1">
      <w:start w:val="1"/>
      <w:numFmt w:val="bullet"/>
      <w:lvlText w:val="─"/>
      <w:lvlJc w:val="left"/>
      <w:pPr>
        <w:ind w:left="1800" w:hanging="360"/>
      </w:pPr>
      <w:rPr>
        <w:rFonts w:ascii="Times New Roman" w:hAnsi="Times New Roman" w:cs="Times New Roman" w:hint="default"/>
        <w:b/>
        <w:sz w:val="24"/>
      </w:rPr>
    </w:lvl>
    <w:lvl w:ilvl="2">
      <w:start w:val="1"/>
      <w:numFmt w:val="bullet"/>
      <w:lvlText w:val="-"/>
      <w:lvlJc w:val="left"/>
      <w:pPr>
        <w:ind w:left="2520" w:hanging="360"/>
      </w:pPr>
      <w:rPr>
        <w:rFonts w:ascii="Times New Roman" w:hAnsi="Times New Roman" w:cs="Times New Roman" w:hint="default"/>
        <w:sz w:val="24"/>
      </w:rPr>
    </w:lvl>
    <w:lvl w:ilvl="3">
      <w:start w:val="1"/>
      <w:numFmt w:val="bullet"/>
      <w:lvlText w:val=""/>
      <w:lvlJc w:val="left"/>
      <w:pPr>
        <w:ind w:left="3240" w:hanging="360"/>
      </w:pPr>
      <w:rPr>
        <w:rFonts w:ascii="Symbol" w:hAnsi="Symbol" w:hint="default"/>
      </w:rPr>
    </w:lvl>
    <w:lvl w:ilvl="4">
      <w:start w:val="1"/>
      <w:numFmt w:val="bullet"/>
      <w:lvlText w:val=""/>
      <w:lvlJc w:val="left"/>
      <w:pPr>
        <w:ind w:left="3960" w:hanging="360"/>
      </w:pPr>
      <w:rPr>
        <w:rFonts w:ascii="Symbol" w:hAnsi="Symbol"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Wingdings" w:hAnsi="Wingding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360"/>
      </w:pPr>
      <w:rPr>
        <w:rFonts w:ascii="Symbol" w:hAnsi="Symbol" w:hint="default"/>
      </w:rPr>
    </w:lvl>
  </w:abstractNum>
  <w:num w:numId="1">
    <w:abstractNumId w:val="7"/>
  </w:num>
  <w:num w:numId="2">
    <w:abstractNumId w:val="4"/>
  </w:num>
  <w:num w:numId="3">
    <w:abstractNumId w:val="0"/>
  </w:num>
  <w:num w:numId="4">
    <w:abstractNumId w:val="1"/>
  </w:num>
  <w:num w:numId="5">
    <w:abstractNumId w:val="2"/>
  </w:num>
  <w:num w:numId="6">
    <w:abstractNumId w:val="3"/>
  </w:num>
  <w:num w:numId="7">
    <w:abstractNumId w:val="5"/>
  </w:num>
  <w:num w:numId="8">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stylePaneFormatFilter w:val="3F01"/>
  <w:stylePaneSortMethod w:val="0004"/>
  <w:defaultTabStop w:val="720"/>
  <w:doNotHyphenateCaps/>
  <w:drawingGridHorizontalSpacing w:val="120"/>
  <w:drawingGridVerticalSpacing w:val="163"/>
  <w:displayHorizontalDrawingGridEvery w:val="0"/>
  <w:displayVerticalDrawingGridEvery w:val="2"/>
  <w:doNotShadeFormData/>
  <w:noPunctuationKerning/>
  <w:characterSpacingControl w:val="doNotCompress"/>
  <w:hdrShapeDefaults>
    <o:shapedefaults v:ext="edit" spidmax="68609"/>
  </w:hdrShapeDefaults>
  <w:footnotePr>
    <w:footnote w:id="-1"/>
    <w:footnote w:id="0"/>
  </w:footnotePr>
  <w:endnotePr>
    <w:endnote w:id="-1"/>
    <w:endnote w:id="0"/>
  </w:endnotePr>
  <w:compat/>
  <w:rsids>
    <w:rsidRoot w:val="00B253DF"/>
    <w:rsid w:val="00000947"/>
    <w:rsid w:val="00017D18"/>
    <w:rsid w:val="00020ACB"/>
    <w:rsid w:val="00022F17"/>
    <w:rsid w:val="000238B7"/>
    <w:rsid w:val="00026357"/>
    <w:rsid w:val="00026BEC"/>
    <w:rsid w:val="00054237"/>
    <w:rsid w:val="0007312F"/>
    <w:rsid w:val="0007387C"/>
    <w:rsid w:val="00075645"/>
    <w:rsid w:val="00077287"/>
    <w:rsid w:val="00077F88"/>
    <w:rsid w:val="000935BD"/>
    <w:rsid w:val="000935E9"/>
    <w:rsid w:val="0009375D"/>
    <w:rsid w:val="00096103"/>
    <w:rsid w:val="00096A50"/>
    <w:rsid w:val="00096D67"/>
    <w:rsid w:val="00097FE2"/>
    <w:rsid w:val="000B0BC8"/>
    <w:rsid w:val="000B1D6F"/>
    <w:rsid w:val="000B2BEB"/>
    <w:rsid w:val="000B731D"/>
    <w:rsid w:val="000C6631"/>
    <w:rsid w:val="000D15B0"/>
    <w:rsid w:val="000D688E"/>
    <w:rsid w:val="000E2647"/>
    <w:rsid w:val="000E539F"/>
    <w:rsid w:val="000E6E55"/>
    <w:rsid w:val="000F74BB"/>
    <w:rsid w:val="00104D46"/>
    <w:rsid w:val="0011319A"/>
    <w:rsid w:val="00121653"/>
    <w:rsid w:val="00126A9D"/>
    <w:rsid w:val="00126F63"/>
    <w:rsid w:val="001276CA"/>
    <w:rsid w:val="001370AC"/>
    <w:rsid w:val="00143D3E"/>
    <w:rsid w:val="001461ED"/>
    <w:rsid w:val="00146F57"/>
    <w:rsid w:val="00150886"/>
    <w:rsid w:val="001515EB"/>
    <w:rsid w:val="00157EA9"/>
    <w:rsid w:val="00166A00"/>
    <w:rsid w:val="001700C4"/>
    <w:rsid w:val="001712B1"/>
    <w:rsid w:val="00191491"/>
    <w:rsid w:val="00197A2E"/>
    <w:rsid w:val="001A2A1B"/>
    <w:rsid w:val="001B177F"/>
    <w:rsid w:val="001C005E"/>
    <w:rsid w:val="001C2E82"/>
    <w:rsid w:val="001D0AF7"/>
    <w:rsid w:val="001D31E5"/>
    <w:rsid w:val="001E0716"/>
    <w:rsid w:val="001E32AE"/>
    <w:rsid w:val="001E7BE2"/>
    <w:rsid w:val="001F5D99"/>
    <w:rsid w:val="00205160"/>
    <w:rsid w:val="00213A89"/>
    <w:rsid w:val="00226D32"/>
    <w:rsid w:val="00230BF7"/>
    <w:rsid w:val="00231EB1"/>
    <w:rsid w:val="00241C10"/>
    <w:rsid w:val="00246847"/>
    <w:rsid w:val="00247593"/>
    <w:rsid w:val="00260180"/>
    <w:rsid w:val="002663FA"/>
    <w:rsid w:val="00274C09"/>
    <w:rsid w:val="00275841"/>
    <w:rsid w:val="00277449"/>
    <w:rsid w:val="00280F6B"/>
    <w:rsid w:val="00290316"/>
    <w:rsid w:val="00292C2E"/>
    <w:rsid w:val="00292F27"/>
    <w:rsid w:val="002A6CAA"/>
    <w:rsid w:val="002B7BCD"/>
    <w:rsid w:val="002C77AA"/>
    <w:rsid w:val="002C7AFB"/>
    <w:rsid w:val="002D4FB8"/>
    <w:rsid w:val="002D6993"/>
    <w:rsid w:val="00301ECA"/>
    <w:rsid w:val="00305900"/>
    <w:rsid w:val="0031087B"/>
    <w:rsid w:val="00311224"/>
    <w:rsid w:val="003116EA"/>
    <w:rsid w:val="0031286E"/>
    <w:rsid w:val="00312DEB"/>
    <w:rsid w:val="00315C37"/>
    <w:rsid w:val="00317ED5"/>
    <w:rsid w:val="003240BC"/>
    <w:rsid w:val="003255E0"/>
    <w:rsid w:val="00346291"/>
    <w:rsid w:val="00351514"/>
    <w:rsid w:val="00355DD4"/>
    <w:rsid w:val="003563C3"/>
    <w:rsid w:val="00362063"/>
    <w:rsid w:val="003649C0"/>
    <w:rsid w:val="00372A4B"/>
    <w:rsid w:val="0038646E"/>
    <w:rsid w:val="00394A99"/>
    <w:rsid w:val="003A3041"/>
    <w:rsid w:val="003B15C1"/>
    <w:rsid w:val="003B2EC3"/>
    <w:rsid w:val="003D3FF2"/>
    <w:rsid w:val="003E1694"/>
    <w:rsid w:val="003E6290"/>
    <w:rsid w:val="003E6375"/>
    <w:rsid w:val="003F505C"/>
    <w:rsid w:val="003F678D"/>
    <w:rsid w:val="003F6D58"/>
    <w:rsid w:val="00400DF8"/>
    <w:rsid w:val="004070F0"/>
    <w:rsid w:val="00415415"/>
    <w:rsid w:val="00415F0C"/>
    <w:rsid w:val="00416B28"/>
    <w:rsid w:val="004211B7"/>
    <w:rsid w:val="004224EE"/>
    <w:rsid w:val="00423113"/>
    <w:rsid w:val="00427454"/>
    <w:rsid w:val="0043551E"/>
    <w:rsid w:val="00437726"/>
    <w:rsid w:val="004409B2"/>
    <w:rsid w:val="00455856"/>
    <w:rsid w:val="004564B9"/>
    <w:rsid w:val="00467A6A"/>
    <w:rsid w:val="0047130C"/>
    <w:rsid w:val="004812E2"/>
    <w:rsid w:val="004819BB"/>
    <w:rsid w:val="00483A87"/>
    <w:rsid w:val="00485477"/>
    <w:rsid w:val="004B0FCC"/>
    <w:rsid w:val="004B3E4B"/>
    <w:rsid w:val="004B40B1"/>
    <w:rsid w:val="004B46F8"/>
    <w:rsid w:val="004C30D2"/>
    <w:rsid w:val="004C4005"/>
    <w:rsid w:val="004C7495"/>
    <w:rsid w:val="004E0AD6"/>
    <w:rsid w:val="004E5F3F"/>
    <w:rsid w:val="0050194C"/>
    <w:rsid w:val="00503033"/>
    <w:rsid w:val="00513E82"/>
    <w:rsid w:val="0051453E"/>
    <w:rsid w:val="005168BB"/>
    <w:rsid w:val="00521A5F"/>
    <w:rsid w:val="00521A9C"/>
    <w:rsid w:val="00536C88"/>
    <w:rsid w:val="005372DA"/>
    <w:rsid w:val="00537D1A"/>
    <w:rsid w:val="00544125"/>
    <w:rsid w:val="005528D8"/>
    <w:rsid w:val="005529D5"/>
    <w:rsid w:val="00552C8F"/>
    <w:rsid w:val="005557EF"/>
    <w:rsid w:val="0055720C"/>
    <w:rsid w:val="0055783D"/>
    <w:rsid w:val="00557A79"/>
    <w:rsid w:val="00565425"/>
    <w:rsid w:val="0056560B"/>
    <w:rsid w:val="005658B0"/>
    <w:rsid w:val="00565D8A"/>
    <w:rsid w:val="00573DEC"/>
    <w:rsid w:val="00577241"/>
    <w:rsid w:val="00580BAD"/>
    <w:rsid w:val="0059308D"/>
    <w:rsid w:val="005939CC"/>
    <w:rsid w:val="00596D69"/>
    <w:rsid w:val="005B3E96"/>
    <w:rsid w:val="005C0D2F"/>
    <w:rsid w:val="005D5666"/>
    <w:rsid w:val="005D596C"/>
    <w:rsid w:val="005F3293"/>
    <w:rsid w:val="005F5933"/>
    <w:rsid w:val="00602710"/>
    <w:rsid w:val="00602E28"/>
    <w:rsid w:val="00603EEC"/>
    <w:rsid w:val="00610ABE"/>
    <w:rsid w:val="006148F7"/>
    <w:rsid w:val="00614BA7"/>
    <w:rsid w:val="00620143"/>
    <w:rsid w:val="006232E8"/>
    <w:rsid w:val="00625E61"/>
    <w:rsid w:val="0063509F"/>
    <w:rsid w:val="00647270"/>
    <w:rsid w:val="00656524"/>
    <w:rsid w:val="00657787"/>
    <w:rsid w:val="00661EC5"/>
    <w:rsid w:val="00664CF0"/>
    <w:rsid w:val="00682A57"/>
    <w:rsid w:val="006979A5"/>
    <w:rsid w:val="006B312C"/>
    <w:rsid w:val="006B7229"/>
    <w:rsid w:val="006C0097"/>
    <w:rsid w:val="006C080F"/>
    <w:rsid w:val="006C0E5E"/>
    <w:rsid w:val="006C1F61"/>
    <w:rsid w:val="006C7E47"/>
    <w:rsid w:val="006E657C"/>
    <w:rsid w:val="006F3E85"/>
    <w:rsid w:val="00701BEA"/>
    <w:rsid w:val="00706638"/>
    <w:rsid w:val="007113FC"/>
    <w:rsid w:val="007141BD"/>
    <w:rsid w:val="00714D3B"/>
    <w:rsid w:val="0071541C"/>
    <w:rsid w:val="0071570C"/>
    <w:rsid w:val="00715736"/>
    <w:rsid w:val="007316AA"/>
    <w:rsid w:val="00741807"/>
    <w:rsid w:val="0075386B"/>
    <w:rsid w:val="00754389"/>
    <w:rsid w:val="00754D3E"/>
    <w:rsid w:val="00763661"/>
    <w:rsid w:val="007740B6"/>
    <w:rsid w:val="00775E7E"/>
    <w:rsid w:val="00775F6B"/>
    <w:rsid w:val="00776572"/>
    <w:rsid w:val="00777A7C"/>
    <w:rsid w:val="00783EDA"/>
    <w:rsid w:val="00790A7E"/>
    <w:rsid w:val="00790E9E"/>
    <w:rsid w:val="00791652"/>
    <w:rsid w:val="007B0DCA"/>
    <w:rsid w:val="007B1B87"/>
    <w:rsid w:val="007B4132"/>
    <w:rsid w:val="007B5E0F"/>
    <w:rsid w:val="007B693A"/>
    <w:rsid w:val="007C3DE2"/>
    <w:rsid w:val="007C6F54"/>
    <w:rsid w:val="007D5D84"/>
    <w:rsid w:val="007D7C63"/>
    <w:rsid w:val="007E7AB3"/>
    <w:rsid w:val="007E7B56"/>
    <w:rsid w:val="007F1AFB"/>
    <w:rsid w:val="007F293B"/>
    <w:rsid w:val="00803961"/>
    <w:rsid w:val="0081057C"/>
    <w:rsid w:val="008111FE"/>
    <w:rsid w:val="00811304"/>
    <w:rsid w:val="00817DEE"/>
    <w:rsid w:val="00824679"/>
    <w:rsid w:val="00826B36"/>
    <w:rsid w:val="00826D05"/>
    <w:rsid w:val="0083001B"/>
    <w:rsid w:val="008311EB"/>
    <w:rsid w:val="00835EC2"/>
    <w:rsid w:val="008472D8"/>
    <w:rsid w:val="00857BBF"/>
    <w:rsid w:val="00861062"/>
    <w:rsid w:val="00862E8B"/>
    <w:rsid w:val="008646A2"/>
    <w:rsid w:val="0086676C"/>
    <w:rsid w:val="00874650"/>
    <w:rsid w:val="00875025"/>
    <w:rsid w:val="00877628"/>
    <w:rsid w:val="00881049"/>
    <w:rsid w:val="00885374"/>
    <w:rsid w:val="008871C1"/>
    <w:rsid w:val="008873D0"/>
    <w:rsid w:val="00890D60"/>
    <w:rsid w:val="0089278A"/>
    <w:rsid w:val="0089429D"/>
    <w:rsid w:val="008A271C"/>
    <w:rsid w:val="008B06CB"/>
    <w:rsid w:val="008B4AFB"/>
    <w:rsid w:val="008C3DA3"/>
    <w:rsid w:val="008C607B"/>
    <w:rsid w:val="008D0B3A"/>
    <w:rsid w:val="008D7727"/>
    <w:rsid w:val="008D7823"/>
    <w:rsid w:val="008E2E63"/>
    <w:rsid w:val="008E45F8"/>
    <w:rsid w:val="008F6F18"/>
    <w:rsid w:val="0091065E"/>
    <w:rsid w:val="0092492B"/>
    <w:rsid w:val="00941A1C"/>
    <w:rsid w:val="00942E75"/>
    <w:rsid w:val="00952B7A"/>
    <w:rsid w:val="009558AE"/>
    <w:rsid w:val="00957889"/>
    <w:rsid w:val="009656D5"/>
    <w:rsid w:val="00982C9F"/>
    <w:rsid w:val="0098390D"/>
    <w:rsid w:val="00990F68"/>
    <w:rsid w:val="009A0BD3"/>
    <w:rsid w:val="009A2C36"/>
    <w:rsid w:val="009A47EA"/>
    <w:rsid w:val="009B0D60"/>
    <w:rsid w:val="009B6472"/>
    <w:rsid w:val="009C3564"/>
    <w:rsid w:val="009C5BA6"/>
    <w:rsid w:val="009D0319"/>
    <w:rsid w:val="009D03E0"/>
    <w:rsid w:val="009D290C"/>
    <w:rsid w:val="009D71B3"/>
    <w:rsid w:val="009D7D51"/>
    <w:rsid w:val="009E5092"/>
    <w:rsid w:val="009E7052"/>
    <w:rsid w:val="00A10679"/>
    <w:rsid w:val="00A12B0C"/>
    <w:rsid w:val="00A12C80"/>
    <w:rsid w:val="00A13A3F"/>
    <w:rsid w:val="00A240A6"/>
    <w:rsid w:val="00A31B8F"/>
    <w:rsid w:val="00A3229E"/>
    <w:rsid w:val="00A50622"/>
    <w:rsid w:val="00A519E7"/>
    <w:rsid w:val="00A51A96"/>
    <w:rsid w:val="00A5609E"/>
    <w:rsid w:val="00A61280"/>
    <w:rsid w:val="00A715DD"/>
    <w:rsid w:val="00A81F92"/>
    <w:rsid w:val="00A841F4"/>
    <w:rsid w:val="00A90F74"/>
    <w:rsid w:val="00AA495D"/>
    <w:rsid w:val="00AA67E4"/>
    <w:rsid w:val="00AA75FC"/>
    <w:rsid w:val="00AA7E13"/>
    <w:rsid w:val="00AB09E4"/>
    <w:rsid w:val="00AB2183"/>
    <w:rsid w:val="00AB4A96"/>
    <w:rsid w:val="00AB7326"/>
    <w:rsid w:val="00AD0738"/>
    <w:rsid w:val="00AE24ED"/>
    <w:rsid w:val="00AF642D"/>
    <w:rsid w:val="00AF77F2"/>
    <w:rsid w:val="00B02CC5"/>
    <w:rsid w:val="00B02E9C"/>
    <w:rsid w:val="00B05AA0"/>
    <w:rsid w:val="00B05AD1"/>
    <w:rsid w:val="00B12F9C"/>
    <w:rsid w:val="00B143F4"/>
    <w:rsid w:val="00B21A11"/>
    <w:rsid w:val="00B2276F"/>
    <w:rsid w:val="00B24CB2"/>
    <w:rsid w:val="00B253DF"/>
    <w:rsid w:val="00B30FAF"/>
    <w:rsid w:val="00B31FF8"/>
    <w:rsid w:val="00B332C5"/>
    <w:rsid w:val="00B35D0F"/>
    <w:rsid w:val="00B35DD3"/>
    <w:rsid w:val="00B47148"/>
    <w:rsid w:val="00B65A85"/>
    <w:rsid w:val="00B66B8D"/>
    <w:rsid w:val="00B70D42"/>
    <w:rsid w:val="00B8205D"/>
    <w:rsid w:val="00B821A0"/>
    <w:rsid w:val="00B8239F"/>
    <w:rsid w:val="00B928BC"/>
    <w:rsid w:val="00B93D94"/>
    <w:rsid w:val="00BA106C"/>
    <w:rsid w:val="00BB0E39"/>
    <w:rsid w:val="00BC48D5"/>
    <w:rsid w:val="00BD066D"/>
    <w:rsid w:val="00BE1758"/>
    <w:rsid w:val="00BE68D1"/>
    <w:rsid w:val="00BF3922"/>
    <w:rsid w:val="00BF6708"/>
    <w:rsid w:val="00C030F3"/>
    <w:rsid w:val="00C07173"/>
    <w:rsid w:val="00C16071"/>
    <w:rsid w:val="00C23A4B"/>
    <w:rsid w:val="00C30360"/>
    <w:rsid w:val="00C40245"/>
    <w:rsid w:val="00C40D21"/>
    <w:rsid w:val="00C47AFD"/>
    <w:rsid w:val="00C56FE7"/>
    <w:rsid w:val="00C8408E"/>
    <w:rsid w:val="00C85B55"/>
    <w:rsid w:val="00C85E22"/>
    <w:rsid w:val="00C864BA"/>
    <w:rsid w:val="00C87E1B"/>
    <w:rsid w:val="00C90C1B"/>
    <w:rsid w:val="00C96282"/>
    <w:rsid w:val="00C96789"/>
    <w:rsid w:val="00CA4418"/>
    <w:rsid w:val="00CA4CA6"/>
    <w:rsid w:val="00CA6BCE"/>
    <w:rsid w:val="00CA75C7"/>
    <w:rsid w:val="00CB4FF6"/>
    <w:rsid w:val="00CC1E01"/>
    <w:rsid w:val="00CD179E"/>
    <w:rsid w:val="00CD2D4F"/>
    <w:rsid w:val="00CD325D"/>
    <w:rsid w:val="00CD4193"/>
    <w:rsid w:val="00CE032C"/>
    <w:rsid w:val="00CE13B9"/>
    <w:rsid w:val="00CF4860"/>
    <w:rsid w:val="00D16E99"/>
    <w:rsid w:val="00D21EF7"/>
    <w:rsid w:val="00D21F89"/>
    <w:rsid w:val="00D379D0"/>
    <w:rsid w:val="00D444F2"/>
    <w:rsid w:val="00D51169"/>
    <w:rsid w:val="00D5135F"/>
    <w:rsid w:val="00D61553"/>
    <w:rsid w:val="00D72BF2"/>
    <w:rsid w:val="00D833E2"/>
    <w:rsid w:val="00D842FF"/>
    <w:rsid w:val="00D956AE"/>
    <w:rsid w:val="00DA0221"/>
    <w:rsid w:val="00DA04B7"/>
    <w:rsid w:val="00DB0167"/>
    <w:rsid w:val="00DB3C51"/>
    <w:rsid w:val="00DC1564"/>
    <w:rsid w:val="00DC1DD9"/>
    <w:rsid w:val="00DC505C"/>
    <w:rsid w:val="00DE632E"/>
    <w:rsid w:val="00DF325B"/>
    <w:rsid w:val="00E01C5C"/>
    <w:rsid w:val="00E12117"/>
    <w:rsid w:val="00E21BBF"/>
    <w:rsid w:val="00E24FBA"/>
    <w:rsid w:val="00E251FF"/>
    <w:rsid w:val="00E33018"/>
    <w:rsid w:val="00E33F27"/>
    <w:rsid w:val="00E37D92"/>
    <w:rsid w:val="00E43CF0"/>
    <w:rsid w:val="00E450CF"/>
    <w:rsid w:val="00E47414"/>
    <w:rsid w:val="00E560B6"/>
    <w:rsid w:val="00E63F82"/>
    <w:rsid w:val="00E67904"/>
    <w:rsid w:val="00E86B02"/>
    <w:rsid w:val="00E86B64"/>
    <w:rsid w:val="00EA6713"/>
    <w:rsid w:val="00EC399E"/>
    <w:rsid w:val="00EC3DAB"/>
    <w:rsid w:val="00EC7152"/>
    <w:rsid w:val="00ED1F77"/>
    <w:rsid w:val="00ED70B2"/>
    <w:rsid w:val="00EE2CB8"/>
    <w:rsid w:val="00EE3A7D"/>
    <w:rsid w:val="00EE50E2"/>
    <w:rsid w:val="00F03E8B"/>
    <w:rsid w:val="00F126C3"/>
    <w:rsid w:val="00F21DB5"/>
    <w:rsid w:val="00F23F44"/>
    <w:rsid w:val="00F30170"/>
    <w:rsid w:val="00F30DB1"/>
    <w:rsid w:val="00F33BE6"/>
    <w:rsid w:val="00F35599"/>
    <w:rsid w:val="00F35612"/>
    <w:rsid w:val="00F3759B"/>
    <w:rsid w:val="00F42A2D"/>
    <w:rsid w:val="00F431FE"/>
    <w:rsid w:val="00F60F5F"/>
    <w:rsid w:val="00F634D6"/>
    <w:rsid w:val="00F65CB3"/>
    <w:rsid w:val="00F70106"/>
    <w:rsid w:val="00F75096"/>
    <w:rsid w:val="00F87407"/>
    <w:rsid w:val="00F87DBB"/>
    <w:rsid w:val="00F9623A"/>
    <w:rsid w:val="00FA33D2"/>
    <w:rsid w:val="00FA455B"/>
    <w:rsid w:val="00FB6473"/>
    <w:rsid w:val="00FD0704"/>
    <w:rsid w:val="00FD39BA"/>
    <w:rsid w:val="00FE585B"/>
    <w:rsid w:val="00FF3F32"/>
    <w:rsid w:val="00FF5474"/>
    <w:rsid w:val="00FF6680"/>
    <w:rsid w:val="00FF6C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pPr>
        <w:spacing w:after="130" w:line="320" w:lineRule="atLeast"/>
        <w:ind w:left="720" w:hanging="432"/>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table of figures" w:uiPriority="99"/>
    <w:lsdException w:name="annotation reference" w:uiPriority="99"/>
    <w:lsdException w:name="Title" w:uiPriority="10" w:qFormat="1"/>
    <w:lsdException w:name="Default Paragraph Font" w:uiPriority="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0886"/>
    <w:pPr>
      <w:spacing w:after="280"/>
      <w:ind w:left="0" w:firstLine="0"/>
    </w:pPr>
    <w:rPr>
      <w:rFonts w:ascii="Times New Roman" w:hAnsi="Times New Roman"/>
      <w:sz w:val="24"/>
      <w:szCs w:val="24"/>
    </w:rPr>
  </w:style>
  <w:style w:type="paragraph" w:styleId="Heading1">
    <w:name w:val="heading 1"/>
    <w:basedOn w:val="Normal"/>
    <w:next w:val="Normal"/>
    <w:qFormat/>
    <w:rsid w:val="00DE632E"/>
    <w:pPr>
      <w:keepNext/>
      <w:numPr>
        <w:numId w:val="4"/>
      </w:numPr>
      <w:pBdr>
        <w:bottom w:val="single" w:sz="12" w:space="26" w:color="auto"/>
      </w:pBdr>
      <w:spacing w:after="240"/>
      <w:jc w:val="left"/>
      <w:outlineLvl w:val="0"/>
    </w:pPr>
    <w:rPr>
      <w:rFonts w:ascii="Arial" w:hAnsi="Arial" w:cs="Arial"/>
      <w:b/>
      <w:bCs/>
      <w:sz w:val="36"/>
      <w:szCs w:val="36"/>
    </w:rPr>
  </w:style>
  <w:style w:type="paragraph" w:styleId="Heading2">
    <w:name w:val="heading 2"/>
    <w:basedOn w:val="Normal"/>
    <w:next w:val="Normal"/>
    <w:qFormat/>
    <w:rsid w:val="00DE632E"/>
    <w:pPr>
      <w:keepNext/>
      <w:numPr>
        <w:ilvl w:val="1"/>
        <w:numId w:val="4"/>
      </w:numPr>
      <w:spacing w:before="480" w:after="180"/>
      <w:jc w:val="left"/>
      <w:outlineLvl w:val="1"/>
    </w:pPr>
    <w:rPr>
      <w:rFonts w:ascii="Arial" w:hAnsi="Arial" w:cs="Arial"/>
      <w:b/>
      <w:bCs/>
      <w:sz w:val="28"/>
      <w:szCs w:val="28"/>
    </w:rPr>
  </w:style>
  <w:style w:type="paragraph" w:styleId="Heading3">
    <w:name w:val="heading 3"/>
    <w:basedOn w:val="Normal"/>
    <w:next w:val="Normal"/>
    <w:autoRedefine/>
    <w:qFormat/>
    <w:rsid w:val="00DE632E"/>
    <w:pPr>
      <w:keepNext/>
      <w:numPr>
        <w:ilvl w:val="2"/>
        <w:numId w:val="4"/>
      </w:numPr>
      <w:spacing w:after="180" w:line="240" w:lineRule="auto"/>
      <w:jc w:val="left"/>
      <w:outlineLvl w:val="2"/>
    </w:pPr>
    <w:rPr>
      <w:rFonts w:ascii="Arial" w:hAnsi="Arial" w:cs="Arial"/>
      <w:b/>
      <w:bCs/>
      <w:i/>
      <w:iCs/>
    </w:rPr>
  </w:style>
  <w:style w:type="paragraph" w:styleId="Heading4">
    <w:name w:val="heading 4"/>
    <w:basedOn w:val="Normal"/>
    <w:next w:val="Normal"/>
    <w:qFormat/>
    <w:rsid w:val="00DE632E"/>
    <w:pPr>
      <w:keepNext/>
      <w:keepLines/>
      <w:numPr>
        <w:ilvl w:val="3"/>
        <w:numId w:val="4"/>
      </w:numPr>
      <w:spacing w:after="180"/>
      <w:jc w:val="left"/>
      <w:outlineLvl w:val="3"/>
    </w:pPr>
    <w:rPr>
      <w:b/>
      <w:i/>
      <w:iCs/>
      <w:u w:val="single"/>
    </w:rPr>
  </w:style>
  <w:style w:type="paragraph" w:styleId="Heading5">
    <w:name w:val="heading 5"/>
    <w:basedOn w:val="Normal"/>
    <w:next w:val="Normal"/>
    <w:qFormat/>
    <w:rsid w:val="00DE632E"/>
    <w:pPr>
      <w:keepNext/>
      <w:keepLines/>
      <w:numPr>
        <w:ilvl w:val="4"/>
        <w:numId w:val="4"/>
      </w:numPr>
      <w:outlineLvl w:val="4"/>
    </w:pPr>
    <w:rPr>
      <w:rFonts w:cs="Arial"/>
      <w:bCs/>
      <w:i/>
      <w:u w:val="single"/>
    </w:rPr>
  </w:style>
  <w:style w:type="paragraph" w:styleId="Heading6">
    <w:name w:val="heading 6"/>
    <w:basedOn w:val="Heading1"/>
    <w:next w:val="Normal"/>
    <w:qFormat/>
    <w:rsid w:val="00D842FF"/>
    <w:pPr>
      <w:numPr>
        <w:ilvl w:val="5"/>
      </w:numPr>
      <w:pBdr>
        <w:bottom w:val="none" w:sz="0" w:space="0" w:color="auto"/>
      </w:pBdr>
      <w:tabs>
        <w:tab w:val="left" w:pos="2880"/>
      </w:tabs>
      <w:spacing w:after="120"/>
      <w:outlineLvl w:val="5"/>
    </w:pPr>
    <w:rPr>
      <w:rFonts w:ascii="Times New Roman" w:hAnsi="Times New Roman"/>
      <w:sz w:val="24"/>
      <w:szCs w:val="24"/>
    </w:rPr>
  </w:style>
  <w:style w:type="paragraph" w:styleId="Heading7">
    <w:name w:val="heading 7"/>
    <w:basedOn w:val="Heading1"/>
    <w:next w:val="Normal"/>
    <w:qFormat/>
    <w:rsid w:val="00D842FF"/>
    <w:pPr>
      <w:numPr>
        <w:ilvl w:val="6"/>
      </w:numPr>
      <w:tabs>
        <w:tab w:val="left" w:pos="3456"/>
      </w:tabs>
      <w:outlineLvl w:val="6"/>
    </w:pPr>
  </w:style>
  <w:style w:type="paragraph" w:styleId="Heading8">
    <w:name w:val="heading 8"/>
    <w:basedOn w:val="Normal"/>
    <w:next w:val="Normal"/>
    <w:qFormat/>
    <w:rsid w:val="00DE632E"/>
    <w:pPr>
      <w:numPr>
        <w:ilvl w:val="7"/>
        <w:numId w:val="4"/>
      </w:numPr>
      <w:outlineLvl w:val="7"/>
    </w:pPr>
    <w:rPr>
      <w:rFonts w:ascii="Tms Rmn" w:hAnsi="Tms Rmn"/>
      <w:i/>
      <w:iCs/>
      <w:sz w:val="20"/>
      <w:szCs w:val="20"/>
    </w:rPr>
  </w:style>
  <w:style w:type="paragraph" w:styleId="Heading9">
    <w:name w:val="heading 9"/>
    <w:basedOn w:val="Normal"/>
    <w:next w:val="Normal"/>
    <w:qFormat/>
    <w:rsid w:val="00DE632E"/>
    <w:pPr>
      <w:numPr>
        <w:ilvl w:val="8"/>
        <w:numId w:val="4"/>
      </w:numPr>
      <w:outlineLvl w:val="8"/>
    </w:pPr>
    <w:rPr>
      <w:rFonts w:ascii="Tms Rmn" w:hAnsi="Tms Rm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J">
    <w:name w:val="pJ"/>
    <w:next w:val="Normal"/>
    <w:rsid w:val="00D842FF"/>
    <w:rPr>
      <w:rFonts w:ascii="Times New Roman" w:hAnsi="Times New Roman"/>
      <w:sz w:val="24"/>
      <w:szCs w:val="24"/>
    </w:rPr>
  </w:style>
  <w:style w:type="paragraph" w:customStyle="1" w:styleId="pB">
    <w:name w:val="pB"/>
    <w:basedOn w:val="Normal"/>
    <w:rsid w:val="0011319A"/>
    <w:pPr>
      <w:tabs>
        <w:tab w:val="left" w:pos="720"/>
        <w:tab w:val="left" w:pos="1080"/>
      </w:tabs>
      <w:ind w:right="288"/>
    </w:pPr>
  </w:style>
  <w:style w:type="paragraph" w:customStyle="1" w:styleId="pF">
    <w:name w:val="pF"/>
    <w:rsid w:val="0011319A"/>
    <w:rPr>
      <w:rFonts w:ascii="Times New Roman" w:hAnsi="Times New Roman"/>
      <w:sz w:val="24"/>
      <w:szCs w:val="24"/>
    </w:rPr>
  </w:style>
  <w:style w:type="paragraph" w:customStyle="1" w:styleId="pS">
    <w:name w:val="pS"/>
    <w:rsid w:val="00D842FF"/>
    <w:pPr>
      <w:tabs>
        <w:tab w:val="left" w:pos="720"/>
        <w:tab w:val="left" w:pos="1080"/>
      </w:tabs>
      <w:ind w:right="288"/>
    </w:pPr>
    <w:rPr>
      <w:rFonts w:ascii="Times New Roman" w:hAnsi="Times New Roman"/>
      <w:sz w:val="24"/>
      <w:szCs w:val="24"/>
    </w:rPr>
  </w:style>
  <w:style w:type="paragraph" w:customStyle="1" w:styleId="pD">
    <w:name w:val="pD"/>
    <w:basedOn w:val="pF"/>
    <w:rsid w:val="00D842FF"/>
    <w:pPr>
      <w:tabs>
        <w:tab w:val="left" w:pos="1152"/>
      </w:tabs>
      <w:spacing w:before="60" w:line="280" w:lineRule="atLeast"/>
      <w:ind w:left="1152" w:right="288"/>
    </w:pPr>
  </w:style>
  <w:style w:type="paragraph" w:customStyle="1" w:styleId="pE">
    <w:name w:val="pE"/>
    <w:basedOn w:val="pD"/>
    <w:rsid w:val="00D842FF"/>
    <w:pPr>
      <w:tabs>
        <w:tab w:val="clear" w:pos="1152"/>
      </w:tabs>
      <w:spacing w:line="240" w:lineRule="atLeast"/>
      <w:ind w:left="1440" w:hanging="288"/>
    </w:pPr>
  </w:style>
  <w:style w:type="paragraph" w:styleId="Header">
    <w:name w:val="header"/>
    <w:basedOn w:val="pF"/>
    <w:rsid w:val="009D0319"/>
    <w:pPr>
      <w:pBdr>
        <w:bottom w:val="single" w:sz="12" w:space="1" w:color="auto"/>
      </w:pBdr>
      <w:tabs>
        <w:tab w:val="right" w:pos="9000"/>
      </w:tabs>
      <w:spacing w:after="0"/>
      <w:ind w:left="0" w:firstLine="0"/>
      <w:jc w:val="center"/>
    </w:pPr>
    <w:rPr>
      <w:rFonts w:ascii="Tms Rmn" w:hAnsi="Tms Rmn"/>
      <w:i/>
      <w:iCs/>
    </w:rPr>
  </w:style>
  <w:style w:type="paragraph" w:styleId="Footer">
    <w:name w:val="footer"/>
    <w:basedOn w:val="Header"/>
    <w:rsid w:val="0047130C"/>
    <w:pPr>
      <w:pBdr>
        <w:top w:val="single" w:sz="12" w:space="1" w:color="auto"/>
        <w:bottom w:val="none" w:sz="0" w:space="0" w:color="auto"/>
      </w:pBdr>
      <w:tabs>
        <w:tab w:val="clear" w:pos="9000"/>
        <w:tab w:val="center" w:pos="4680"/>
        <w:tab w:val="right" w:pos="9360"/>
      </w:tabs>
      <w:jc w:val="left"/>
    </w:pPr>
  </w:style>
  <w:style w:type="character" w:styleId="FootnoteReference">
    <w:name w:val="footnote reference"/>
    <w:basedOn w:val="DefaultParagraphFont"/>
    <w:rsid w:val="00D842FF"/>
    <w:rPr>
      <w:position w:val="6"/>
      <w:sz w:val="16"/>
      <w:szCs w:val="16"/>
    </w:rPr>
  </w:style>
  <w:style w:type="paragraph" w:styleId="FootnoteText">
    <w:name w:val="footnote text"/>
    <w:basedOn w:val="Normal"/>
    <w:link w:val="FootnoteTextChar"/>
    <w:autoRedefine/>
    <w:rsid w:val="00312DEB"/>
    <w:pPr>
      <w:spacing w:after="0" w:line="240" w:lineRule="auto"/>
      <w:ind w:left="270" w:hanging="270"/>
      <w:jc w:val="left"/>
    </w:pPr>
    <w:rPr>
      <w:rFonts w:ascii="Tms Rmn" w:hAnsi="Tms Rmn"/>
      <w:sz w:val="20"/>
      <w:szCs w:val="20"/>
    </w:rPr>
  </w:style>
  <w:style w:type="paragraph" w:styleId="Index1">
    <w:name w:val="index 1"/>
    <w:basedOn w:val="Normal"/>
    <w:next w:val="Normal"/>
    <w:rsid w:val="00D842FF"/>
    <w:rPr>
      <w:rFonts w:ascii="Tms Rmn" w:hAnsi="Tms Rmn"/>
    </w:rPr>
  </w:style>
  <w:style w:type="paragraph" w:styleId="Index2">
    <w:name w:val="index 2"/>
    <w:basedOn w:val="Normal"/>
    <w:next w:val="Normal"/>
    <w:rsid w:val="00D842FF"/>
    <w:pPr>
      <w:ind w:left="360"/>
    </w:pPr>
    <w:rPr>
      <w:rFonts w:ascii="Tms Rmn" w:hAnsi="Tms Rmn"/>
    </w:rPr>
  </w:style>
  <w:style w:type="paragraph" w:styleId="Index3">
    <w:name w:val="index 3"/>
    <w:basedOn w:val="Normal"/>
    <w:next w:val="Normal"/>
    <w:rsid w:val="00D842FF"/>
    <w:rPr>
      <w:rFonts w:ascii="Tms Rmn" w:hAnsi="Tms Rmn"/>
    </w:rPr>
  </w:style>
  <w:style w:type="paragraph" w:styleId="Index4">
    <w:name w:val="index 4"/>
    <w:basedOn w:val="Normal"/>
    <w:next w:val="Normal"/>
    <w:rsid w:val="00D842FF"/>
    <w:rPr>
      <w:rFonts w:ascii="Tms Rmn" w:hAnsi="Tms Rmn"/>
    </w:rPr>
  </w:style>
  <w:style w:type="paragraph" w:styleId="Index5">
    <w:name w:val="index 5"/>
    <w:basedOn w:val="Normal"/>
    <w:next w:val="Normal"/>
    <w:rsid w:val="00D842FF"/>
    <w:pPr>
      <w:ind w:left="1440"/>
    </w:pPr>
    <w:rPr>
      <w:rFonts w:ascii="Tms Rmn" w:hAnsi="Tms Rmn"/>
    </w:rPr>
  </w:style>
  <w:style w:type="paragraph" w:styleId="Index6">
    <w:name w:val="index 6"/>
    <w:basedOn w:val="Normal"/>
    <w:next w:val="Normal"/>
    <w:rsid w:val="00D842FF"/>
    <w:pPr>
      <w:ind w:left="1800"/>
    </w:pPr>
    <w:rPr>
      <w:rFonts w:ascii="Tms Rmn" w:hAnsi="Tms Rmn"/>
    </w:rPr>
  </w:style>
  <w:style w:type="paragraph" w:styleId="Index7">
    <w:name w:val="index 7"/>
    <w:basedOn w:val="Normal"/>
    <w:next w:val="Normal"/>
    <w:rsid w:val="00D842FF"/>
    <w:pPr>
      <w:ind w:left="2160"/>
    </w:pPr>
    <w:rPr>
      <w:rFonts w:ascii="Tms Rmn" w:hAnsi="Tms Rmn"/>
    </w:rPr>
  </w:style>
  <w:style w:type="paragraph" w:styleId="IndexHeading">
    <w:name w:val="index heading"/>
    <w:basedOn w:val="Normal"/>
    <w:next w:val="Index1"/>
    <w:rsid w:val="00D842FF"/>
    <w:rPr>
      <w:rFonts w:ascii="Tms Rmn" w:hAnsi="Tms Rmn"/>
    </w:rPr>
  </w:style>
  <w:style w:type="character" w:styleId="LineNumber">
    <w:name w:val="line number"/>
    <w:basedOn w:val="DefaultParagraphFont"/>
    <w:rsid w:val="00D842FF"/>
  </w:style>
  <w:style w:type="paragraph" w:customStyle="1" w:styleId="pA">
    <w:name w:val="pA"/>
    <w:rsid w:val="0011319A"/>
    <w:pPr>
      <w:spacing w:line="130" w:lineRule="exact"/>
    </w:pPr>
    <w:rPr>
      <w:rFonts w:ascii="Times New Roman" w:hAnsi="Times New Roman"/>
      <w:sz w:val="24"/>
      <w:szCs w:val="24"/>
    </w:rPr>
  </w:style>
  <w:style w:type="paragraph" w:customStyle="1" w:styleId="pG">
    <w:name w:val="pG"/>
    <w:basedOn w:val="Normal"/>
    <w:rsid w:val="008E2E63"/>
    <w:pPr>
      <w:keepNext/>
      <w:spacing w:after="130"/>
      <w:ind w:left="720" w:hanging="432"/>
    </w:pPr>
    <w:rPr>
      <w:rFonts w:ascii="Arial" w:hAnsi="Arial" w:cs="Arial"/>
      <w:b/>
      <w:bCs/>
    </w:rPr>
  </w:style>
  <w:style w:type="paragraph" w:customStyle="1" w:styleId="pT">
    <w:name w:val="pT"/>
    <w:basedOn w:val="Normal"/>
    <w:rsid w:val="008E2E63"/>
    <w:pPr>
      <w:keepNext/>
      <w:spacing w:after="130"/>
      <w:ind w:left="720" w:hanging="432"/>
    </w:pPr>
    <w:rPr>
      <w:rFonts w:ascii="Arial" w:hAnsi="Arial" w:cs="Arial"/>
      <w:b/>
      <w:bCs/>
    </w:rPr>
  </w:style>
  <w:style w:type="paragraph" w:customStyle="1" w:styleId="pX">
    <w:name w:val="pX"/>
    <w:basedOn w:val="pF"/>
    <w:rsid w:val="00D842FF"/>
    <w:pPr>
      <w:spacing w:line="240" w:lineRule="atLeast"/>
    </w:pPr>
  </w:style>
  <w:style w:type="paragraph" w:customStyle="1" w:styleId="TitlePage">
    <w:name w:val="Title Page"/>
    <w:basedOn w:val="Normal"/>
    <w:rsid w:val="008E2E63"/>
    <w:pPr>
      <w:spacing w:after="130"/>
      <w:ind w:left="1440" w:right="1440" w:hanging="432"/>
      <w:jc w:val="center"/>
    </w:pPr>
    <w:rPr>
      <w:rFonts w:ascii="Arial" w:hAnsi="Arial" w:cs="Arial"/>
      <w:b/>
      <w:bCs/>
      <w:sz w:val="36"/>
      <w:szCs w:val="36"/>
    </w:rPr>
  </w:style>
  <w:style w:type="paragraph" w:styleId="TOC1">
    <w:name w:val="toc 1"/>
    <w:basedOn w:val="pF"/>
    <w:next w:val="Normal"/>
    <w:uiPriority w:val="39"/>
    <w:rsid w:val="00E37D92"/>
    <w:pPr>
      <w:tabs>
        <w:tab w:val="right" w:leader="dot" w:pos="9000"/>
      </w:tabs>
      <w:spacing w:before="120" w:line="240" w:lineRule="auto"/>
      <w:ind w:left="0" w:right="360" w:firstLine="0"/>
    </w:pPr>
    <w:rPr>
      <w:rFonts w:ascii="Arial" w:hAnsi="Arial" w:cs="Arial"/>
      <w:b/>
      <w:bCs/>
    </w:rPr>
  </w:style>
  <w:style w:type="paragraph" w:styleId="TOC2">
    <w:name w:val="toc 2"/>
    <w:basedOn w:val="TOC1"/>
    <w:next w:val="Normal"/>
    <w:uiPriority w:val="39"/>
    <w:rsid w:val="00E37D92"/>
    <w:pPr>
      <w:spacing w:before="0" w:after="0"/>
      <w:ind w:left="864" w:right="720" w:hanging="432"/>
    </w:pPr>
    <w:rPr>
      <w:b w:val="0"/>
      <w:bCs w:val="0"/>
    </w:rPr>
  </w:style>
  <w:style w:type="paragraph" w:styleId="TOC3">
    <w:name w:val="toc 3"/>
    <w:basedOn w:val="TOC1"/>
    <w:uiPriority w:val="39"/>
    <w:rsid w:val="00E37D92"/>
    <w:pPr>
      <w:spacing w:before="0" w:after="0"/>
      <w:ind w:left="1296" w:right="720" w:hanging="432"/>
    </w:pPr>
    <w:rPr>
      <w:b w:val="0"/>
      <w:bCs w:val="0"/>
      <w:i/>
      <w:iCs/>
      <w:sz w:val="20"/>
      <w:szCs w:val="20"/>
    </w:rPr>
  </w:style>
  <w:style w:type="paragraph" w:styleId="TOC4">
    <w:name w:val="toc 4"/>
    <w:basedOn w:val="TOC1"/>
    <w:rsid w:val="00D842FF"/>
    <w:pPr>
      <w:spacing w:before="0" w:after="0"/>
    </w:pPr>
    <w:rPr>
      <w:rFonts w:cs="Times New Roman"/>
      <w:b w:val="0"/>
      <w:bCs w:val="0"/>
      <w:sz w:val="20"/>
      <w:szCs w:val="20"/>
    </w:rPr>
  </w:style>
  <w:style w:type="paragraph" w:styleId="TOC5">
    <w:name w:val="toc 5"/>
    <w:basedOn w:val="TOC4"/>
    <w:next w:val="Normal"/>
    <w:rsid w:val="00D842FF"/>
  </w:style>
  <w:style w:type="paragraph" w:styleId="EnvelopeAddress">
    <w:name w:val="envelope address"/>
    <w:basedOn w:val="Normal"/>
    <w:rsid w:val="00D842FF"/>
    <w:pPr>
      <w:framePr w:w="7920" w:h="1980" w:hRule="exact" w:hSpace="180" w:wrap="auto" w:hAnchor="page" w:xAlign="center" w:yAlign="bottom"/>
      <w:ind w:left="2880"/>
    </w:pPr>
    <w:rPr>
      <w:rFonts w:ascii="Arial Narrow" w:hAnsi="Arial Narrow"/>
      <w:smallCaps/>
    </w:rPr>
  </w:style>
  <w:style w:type="paragraph" w:customStyle="1" w:styleId="Large">
    <w:name w:val="Large"/>
    <w:basedOn w:val="pF"/>
    <w:next w:val="pF"/>
    <w:rsid w:val="00D842FF"/>
    <w:pPr>
      <w:keepNext/>
      <w:spacing w:before="480" w:after="360" w:line="720" w:lineRule="exact"/>
    </w:pPr>
    <w:rPr>
      <w:rFonts w:ascii="Arial" w:hAnsi="Arial" w:cs="Arial"/>
      <w:b/>
      <w:bCs/>
      <w:i/>
      <w:iCs/>
      <w:sz w:val="72"/>
      <w:szCs w:val="72"/>
    </w:rPr>
  </w:style>
  <w:style w:type="paragraph" w:styleId="ListBullet">
    <w:name w:val="List Bullet"/>
    <w:basedOn w:val="Normal"/>
    <w:rsid w:val="00D842FF"/>
    <w:pPr>
      <w:ind w:left="360"/>
    </w:pPr>
  </w:style>
  <w:style w:type="paragraph" w:customStyle="1" w:styleId="pA2">
    <w:name w:val="pA2"/>
    <w:basedOn w:val="pA"/>
    <w:next w:val="pA"/>
    <w:rsid w:val="0011319A"/>
  </w:style>
  <w:style w:type="paragraph" w:styleId="Caption">
    <w:name w:val="caption"/>
    <w:basedOn w:val="Normal"/>
    <w:next w:val="Normal"/>
    <w:autoRedefine/>
    <w:qFormat/>
    <w:rsid w:val="00661EC5"/>
    <w:pPr>
      <w:keepNext/>
      <w:spacing w:before="240" w:after="120" w:line="240" w:lineRule="auto"/>
      <w:ind w:firstLine="14"/>
      <w:jc w:val="left"/>
    </w:pPr>
    <w:rPr>
      <w:rFonts w:ascii="Arial" w:hAnsi="Arial" w:cs="Arial"/>
      <w:b/>
      <w:bCs/>
      <w:sz w:val="22"/>
    </w:rPr>
  </w:style>
  <w:style w:type="paragraph" w:customStyle="1" w:styleId="resumeparagraph">
    <w:name w:val="resume paragraph"/>
    <w:rsid w:val="00D842FF"/>
    <w:pPr>
      <w:spacing w:before="100" w:line="240" w:lineRule="exact"/>
      <w:ind w:hanging="288"/>
    </w:pPr>
    <w:rPr>
      <w:rFonts w:ascii="Times New Roman" w:hAnsi="Times New Roman"/>
      <w:sz w:val="24"/>
      <w:szCs w:val="24"/>
    </w:rPr>
  </w:style>
  <w:style w:type="paragraph" w:customStyle="1" w:styleId="Headline">
    <w:name w:val="Headline"/>
    <w:basedOn w:val="Normal"/>
    <w:rsid w:val="00D842FF"/>
    <w:pPr>
      <w:spacing w:line="240" w:lineRule="auto"/>
    </w:pPr>
    <w:rPr>
      <w:b/>
      <w:bCs/>
      <w:sz w:val="36"/>
      <w:szCs w:val="36"/>
    </w:rPr>
  </w:style>
  <w:style w:type="paragraph" w:customStyle="1" w:styleId="projtitle">
    <w:name w:val="projtitle"/>
    <w:basedOn w:val="Normal"/>
    <w:next w:val="For"/>
    <w:rsid w:val="00D842FF"/>
    <w:pPr>
      <w:keepNext/>
      <w:keepLines/>
      <w:tabs>
        <w:tab w:val="left" w:pos="720"/>
        <w:tab w:val="left" w:pos="1080"/>
      </w:tabs>
      <w:spacing w:line="280" w:lineRule="exact"/>
      <w:ind w:left="288" w:right="288"/>
    </w:pPr>
    <w:rPr>
      <w:b/>
      <w:bCs/>
      <w:i/>
      <w:iCs/>
    </w:rPr>
  </w:style>
  <w:style w:type="paragraph" w:customStyle="1" w:styleId="summary">
    <w:name w:val="summary"/>
    <w:basedOn w:val="pB"/>
    <w:next w:val="projtitle"/>
    <w:rsid w:val="00D842FF"/>
    <w:pPr>
      <w:tabs>
        <w:tab w:val="clear" w:pos="720"/>
        <w:tab w:val="clear" w:pos="1080"/>
        <w:tab w:val="left" w:pos="-1170"/>
      </w:tabs>
      <w:spacing w:after="240"/>
    </w:pPr>
  </w:style>
  <w:style w:type="paragraph" w:customStyle="1" w:styleId="For">
    <w:name w:val="For"/>
    <w:basedOn w:val="Normal"/>
    <w:next w:val="Contact"/>
    <w:rsid w:val="00D842FF"/>
    <w:pPr>
      <w:keepNext/>
      <w:keepLines/>
      <w:tabs>
        <w:tab w:val="left" w:pos="720"/>
        <w:tab w:val="left" w:pos="1080"/>
      </w:tabs>
      <w:spacing w:line="280" w:lineRule="exact"/>
      <w:ind w:left="1152" w:right="288"/>
    </w:pPr>
  </w:style>
  <w:style w:type="paragraph" w:customStyle="1" w:styleId="Contact">
    <w:name w:val="Contact"/>
    <w:basedOn w:val="Normal"/>
    <w:next w:val="summary"/>
    <w:rsid w:val="00D842FF"/>
    <w:pPr>
      <w:keepNext/>
      <w:keepLines/>
      <w:tabs>
        <w:tab w:val="left" w:pos="720"/>
        <w:tab w:val="left" w:pos="1080"/>
      </w:tabs>
      <w:spacing w:line="280" w:lineRule="exact"/>
      <w:ind w:left="1152" w:right="288"/>
    </w:pPr>
  </w:style>
  <w:style w:type="paragraph" w:customStyle="1" w:styleId="question">
    <w:name w:val="question"/>
    <w:basedOn w:val="pF"/>
    <w:rsid w:val="00D842FF"/>
    <w:pPr>
      <w:ind w:hanging="720"/>
    </w:pPr>
  </w:style>
  <w:style w:type="paragraph" w:styleId="TOC6">
    <w:name w:val="toc 6"/>
    <w:basedOn w:val="Normal"/>
    <w:next w:val="Normal"/>
    <w:rsid w:val="00D842FF"/>
    <w:pPr>
      <w:tabs>
        <w:tab w:val="right" w:leader="dot" w:pos="9000"/>
      </w:tabs>
      <w:spacing w:line="240" w:lineRule="auto"/>
      <w:ind w:left="1200"/>
    </w:pPr>
  </w:style>
  <w:style w:type="paragraph" w:customStyle="1" w:styleId="Variabledefinition">
    <w:name w:val="Variable definition"/>
    <w:basedOn w:val="pD"/>
    <w:rsid w:val="00D842FF"/>
    <w:pPr>
      <w:tabs>
        <w:tab w:val="left" w:pos="720"/>
        <w:tab w:val="left" w:pos="1440"/>
        <w:tab w:val="left" w:pos="2160"/>
      </w:tabs>
      <w:ind w:left="2520" w:hanging="1800"/>
    </w:pPr>
    <w:rPr>
      <w:i/>
      <w:iCs/>
    </w:rPr>
  </w:style>
  <w:style w:type="paragraph" w:customStyle="1" w:styleId="tablefootnote">
    <w:name w:val="table footnote"/>
    <w:basedOn w:val="Normal"/>
    <w:link w:val="tablefootnoteChar"/>
    <w:rsid w:val="008E2E63"/>
    <w:pPr>
      <w:keepNext/>
      <w:keepLines/>
      <w:tabs>
        <w:tab w:val="left" w:pos="274"/>
      </w:tabs>
      <w:spacing w:before="60" w:after="0" w:line="240" w:lineRule="auto"/>
      <w:ind w:left="274" w:hanging="274"/>
    </w:pPr>
    <w:rPr>
      <w:sz w:val="20"/>
      <w:szCs w:val="20"/>
    </w:rPr>
  </w:style>
  <w:style w:type="paragraph" w:styleId="TableofFigures">
    <w:name w:val="table of figures"/>
    <w:basedOn w:val="Normal"/>
    <w:next w:val="Normal"/>
    <w:uiPriority w:val="99"/>
    <w:rsid w:val="00F70106"/>
    <w:pPr>
      <w:tabs>
        <w:tab w:val="right" w:leader="dot" w:pos="9000"/>
      </w:tabs>
      <w:spacing w:before="120" w:after="130" w:line="240" w:lineRule="auto"/>
      <w:ind w:left="475" w:right="720" w:hanging="475"/>
    </w:pPr>
    <w:rPr>
      <w:rFonts w:ascii="Arial" w:hAnsi="Arial" w:cs="Arial"/>
    </w:rPr>
  </w:style>
  <w:style w:type="paragraph" w:styleId="BalloonText">
    <w:name w:val="Balloon Text"/>
    <w:basedOn w:val="Normal"/>
    <w:rsid w:val="00D842FF"/>
    <w:rPr>
      <w:rFonts w:ascii="Tahoma" w:hAnsi="Tahoma" w:cs="Tahoma"/>
      <w:sz w:val="16"/>
      <w:szCs w:val="16"/>
    </w:rPr>
  </w:style>
  <w:style w:type="character" w:styleId="CommentReference">
    <w:name w:val="annotation reference"/>
    <w:basedOn w:val="DefaultParagraphFont"/>
    <w:uiPriority w:val="99"/>
    <w:rsid w:val="00D842FF"/>
    <w:rPr>
      <w:sz w:val="16"/>
    </w:rPr>
  </w:style>
  <w:style w:type="paragraph" w:styleId="CommentText">
    <w:name w:val="annotation text"/>
    <w:basedOn w:val="Normal"/>
    <w:link w:val="CommentTextChar"/>
    <w:uiPriority w:val="99"/>
    <w:rsid w:val="00D842FF"/>
    <w:rPr>
      <w:sz w:val="20"/>
      <w:szCs w:val="20"/>
    </w:rPr>
  </w:style>
  <w:style w:type="paragraph" w:styleId="CommentSubject">
    <w:name w:val="annotation subject"/>
    <w:basedOn w:val="CommentText"/>
    <w:next w:val="CommentText"/>
    <w:rsid w:val="00D842FF"/>
    <w:rPr>
      <w:b/>
      <w:bCs/>
    </w:rPr>
  </w:style>
  <w:style w:type="paragraph" w:styleId="DocumentMap">
    <w:name w:val="Document Map"/>
    <w:basedOn w:val="Normal"/>
    <w:rsid w:val="00D842FF"/>
    <w:pPr>
      <w:shd w:val="clear" w:color="auto" w:fill="000080"/>
    </w:pPr>
    <w:rPr>
      <w:rFonts w:ascii="Tahoma" w:hAnsi="Tahoma" w:cs="Tahoma"/>
    </w:rPr>
  </w:style>
  <w:style w:type="character" w:styleId="PageNumber">
    <w:name w:val="page number"/>
    <w:basedOn w:val="DefaultParagraphFont"/>
    <w:rsid w:val="00D842FF"/>
  </w:style>
  <w:style w:type="table" w:styleId="TableGrid">
    <w:name w:val="Table Grid"/>
    <w:basedOn w:val="TableNormal"/>
    <w:uiPriority w:val="59"/>
    <w:rsid w:val="00D842F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TitleSub"/>
    <w:link w:val="TitleChar"/>
    <w:uiPriority w:val="10"/>
    <w:qFormat/>
    <w:rsid w:val="00E251FF"/>
    <w:pPr>
      <w:spacing w:after="0" w:line="240" w:lineRule="auto"/>
      <w:contextualSpacing/>
      <w:jc w:val="right"/>
    </w:pPr>
    <w:rPr>
      <w:rFonts w:ascii="Arial" w:hAnsi="Arial"/>
      <w:b/>
      <w:color w:val="17365D"/>
      <w:spacing w:val="5"/>
      <w:kern w:val="28"/>
      <w:sz w:val="40"/>
      <w:szCs w:val="52"/>
    </w:rPr>
  </w:style>
  <w:style w:type="character" w:styleId="Hyperlink">
    <w:name w:val="Hyperlink"/>
    <w:basedOn w:val="DefaultParagraphFont"/>
    <w:rsid w:val="00D842FF"/>
    <w:rPr>
      <w:color w:val="0000FF"/>
      <w:u w:val="single"/>
    </w:rPr>
  </w:style>
  <w:style w:type="paragraph" w:customStyle="1" w:styleId="CEUSIndent5">
    <w:name w:val="CEUS_Indent5"/>
    <w:basedOn w:val="pE"/>
    <w:rsid w:val="00D842FF"/>
    <w:pPr>
      <w:ind w:left="2070" w:hanging="432"/>
    </w:pPr>
    <w:rPr>
      <w:szCs w:val="20"/>
    </w:rPr>
  </w:style>
  <w:style w:type="paragraph" w:styleId="ListBullet2">
    <w:name w:val="List Bullet 2"/>
    <w:basedOn w:val="Normal"/>
    <w:rsid w:val="00D842FF"/>
    <w:pPr>
      <w:numPr>
        <w:numId w:val="3"/>
      </w:numPr>
      <w:contextualSpacing/>
    </w:pPr>
  </w:style>
  <w:style w:type="numbering" w:customStyle="1" w:styleId="Itron">
    <w:name w:val="Itron"/>
    <w:uiPriority w:val="99"/>
    <w:rsid w:val="008F6F18"/>
    <w:pPr>
      <w:numPr>
        <w:numId w:val="1"/>
      </w:numPr>
    </w:pPr>
  </w:style>
  <w:style w:type="numbering" w:customStyle="1" w:styleId="CnAListBullets">
    <w:name w:val="CnAListBullets"/>
    <w:uiPriority w:val="99"/>
    <w:rsid w:val="00D842FF"/>
    <w:pPr>
      <w:numPr>
        <w:numId w:val="2"/>
      </w:numPr>
    </w:pPr>
  </w:style>
  <w:style w:type="paragraph" w:styleId="ListParagraph">
    <w:name w:val="List Paragraph"/>
    <w:basedOn w:val="Normal"/>
    <w:uiPriority w:val="34"/>
    <w:qFormat/>
    <w:rsid w:val="00D842FF"/>
    <w:pPr>
      <w:spacing w:after="80"/>
    </w:pPr>
  </w:style>
  <w:style w:type="paragraph" w:customStyle="1" w:styleId="CoverTitle">
    <w:name w:val="CoverTitle"/>
    <w:basedOn w:val="Normal"/>
    <w:link w:val="CoverTitleChar"/>
    <w:qFormat/>
    <w:rsid w:val="00D842FF"/>
    <w:pPr>
      <w:spacing w:after="120"/>
      <w:jc w:val="center"/>
    </w:pPr>
    <w:rPr>
      <w:rFonts w:ascii="Arial" w:hAnsi="Arial"/>
      <w:b/>
      <w:sz w:val="40"/>
    </w:rPr>
  </w:style>
  <w:style w:type="character" w:customStyle="1" w:styleId="CoverTitleChar">
    <w:name w:val="CoverTitle Char"/>
    <w:basedOn w:val="DefaultParagraphFont"/>
    <w:link w:val="CoverTitle"/>
    <w:rsid w:val="00D842FF"/>
    <w:rPr>
      <w:rFonts w:ascii="Arial" w:hAnsi="Arial"/>
      <w:b/>
      <w:sz w:val="40"/>
      <w:szCs w:val="24"/>
    </w:rPr>
  </w:style>
  <w:style w:type="paragraph" w:customStyle="1" w:styleId="CoverNormal">
    <w:name w:val="CoverNormal"/>
    <w:basedOn w:val="Normal"/>
    <w:link w:val="CoverNormalChar"/>
    <w:qFormat/>
    <w:rsid w:val="00D842FF"/>
    <w:pPr>
      <w:contextualSpacing/>
      <w:jc w:val="center"/>
    </w:pPr>
    <w:rPr>
      <w:rFonts w:ascii="Arial" w:hAnsi="Arial"/>
    </w:rPr>
  </w:style>
  <w:style w:type="character" w:customStyle="1" w:styleId="CoverNormalChar">
    <w:name w:val="CoverNormal Char"/>
    <w:basedOn w:val="DefaultParagraphFont"/>
    <w:link w:val="CoverNormal"/>
    <w:rsid w:val="00D842FF"/>
    <w:rPr>
      <w:rFonts w:ascii="Arial" w:hAnsi="Arial"/>
      <w:sz w:val="24"/>
      <w:szCs w:val="24"/>
    </w:rPr>
  </w:style>
  <w:style w:type="paragraph" w:customStyle="1" w:styleId="Halfline">
    <w:name w:val="Halfline"/>
    <w:basedOn w:val="Normal"/>
    <w:next w:val="Normal"/>
    <w:link w:val="HalflineChar"/>
    <w:qFormat/>
    <w:rsid w:val="00DE632E"/>
    <w:pPr>
      <w:spacing w:after="130" w:line="130" w:lineRule="exact"/>
      <w:jc w:val="left"/>
    </w:pPr>
  </w:style>
  <w:style w:type="character" w:customStyle="1" w:styleId="HalflineChar">
    <w:name w:val="Halfline Char"/>
    <w:basedOn w:val="DefaultParagraphFont"/>
    <w:link w:val="Halfline"/>
    <w:rsid w:val="00DE632E"/>
    <w:rPr>
      <w:rFonts w:ascii="Times New Roman" w:hAnsi="Times New Roman"/>
      <w:sz w:val="24"/>
      <w:szCs w:val="24"/>
    </w:rPr>
  </w:style>
  <w:style w:type="paragraph" w:customStyle="1" w:styleId="LetterheadParagraph">
    <w:name w:val="Letterhead Paragraph"/>
    <w:basedOn w:val="Normal"/>
    <w:qFormat/>
    <w:rsid w:val="00573DEC"/>
    <w:pPr>
      <w:spacing w:after="0"/>
    </w:pPr>
    <w:rPr>
      <w:rFonts w:ascii="Arial Narrow" w:hAnsi="Arial Narrow"/>
    </w:rPr>
  </w:style>
  <w:style w:type="character" w:customStyle="1" w:styleId="FootnoteTextChar">
    <w:name w:val="Footnote Text Char"/>
    <w:basedOn w:val="DefaultParagraphFont"/>
    <w:link w:val="FootnoteText"/>
    <w:rsid w:val="00312DEB"/>
  </w:style>
  <w:style w:type="character" w:customStyle="1" w:styleId="tablefootnoteChar">
    <w:name w:val="table footnote Char"/>
    <w:basedOn w:val="DefaultParagraphFont"/>
    <w:link w:val="tablefootnote"/>
    <w:rsid w:val="009D0319"/>
    <w:rPr>
      <w:rFonts w:ascii="Times New Roman" w:hAnsi="Times New Roman"/>
    </w:rPr>
  </w:style>
  <w:style w:type="paragraph" w:customStyle="1" w:styleId="TitleSub">
    <w:name w:val="TitleSub"/>
    <w:basedOn w:val="Title"/>
    <w:link w:val="TitleSubChar"/>
    <w:autoRedefine/>
    <w:qFormat/>
    <w:rsid w:val="00682A57"/>
    <w:rPr>
      <w:b w:val="0"/>
      <w:sz w:val="32"/>
    </w:rPr>
  </w:style>
  <w:style w:type="character" w:customStyle="1" w:styleId="TitleSubChar">
    <w:name w:val="TitleSub Char"/>
    <w:basedOn w:val="TitleChar"/>
    <w:link w:val="TitleSub"/>
    <w:rsid w:val="00682A57"/>
    <w:rPr>
      <w:sz w:val="32"/>
    </w:rPr>
  </w:style>
  <w:style w:type="character" w:customStyle="1" w:styleId="TitleChar">
    <w:name w:val="Title Char"/>
    <w:basedOn w:val="DefaultParagraphFont"/>
    <w:link w:val="Title"/>
    <w:uiPriority w:val="10"/>
    <w:rsid w:val="00E251FF"/>
    <w:rPr>
      <w:rFonts w:ascii="Arial" w:hAnsi="Arial"/>
      <w:b/>
      <w:color w:val="17365D"/>
      <w:spacing w:val="5"/>
      <w:kern w:val="28"/>
      <w:sz w:val="40"/>
      <w:szCs w:val="52"/>
    </w:rPr>
  </w:style>
  <w:style w:type="paragraph" w:customStyle="1" w:styleId="TitleAdd">
    <w:name w:val="TitleAdd"/>
    <w:basedOn w:val="Title"/>
    <w:link w:val="TitleAddChar"/>
    <w:autoRedefine/>
    <w:qFormat/>
    <w:rsid w:val="00682A57"/>
    <w:rPr>
      <w:b w:val="0"/>
      <w:sz w:val="24"/>
      <w:szCs w:val="32"/>
    </w:rPr>
  </w:style>
  <w:style w:type="character" w:customStyle="1" w:styleId="TitleAddChar">
    <w:name w:val="TitleAdd Char"/>
    <w:basedOn w:val="TitleChar"/>
    <w:link w:val="TitleAdd"/>
    <w:rsid w:val="00682A57"/>
    <w:rPr>
      <w:sz w:val="24"/>
      <w:szCs w:val="32"/>
    </w:rPr>
  </w:style>
  <w:style w:type="character" w:customStyle="1" w:styleId="CommentTextChar">
    <w:name w:val="Comment Text Char"/>
    <w:basedOn w:val="DefaultParagraphFont"/>
    <w:link w:val="CommentText"/>
    <w:uiPriority w:val="99"/>
    <w:rsid w:val="00B253DF"/>
    <w:rPr>
      <w:rFonts w:ascii="Times New Roman" w:hAnsi="Times New Roman"/>
    </w:rPr>
  </w:style>
  <w:style w:type="table" w:customStyle="1" w:styleId="ItronBasic">
    <w:name w:val="ItronBasic"/>
    <w:basedOn w:val="TableNormal"/>
    <w:uiPriority w:val="99"/>
    <w:qFormat/>
    <w:rsid w:val="00B2276F"/>
    <w:pPr>
      <w:spacing w:after="0" w:line="240" w:lineRule="auto"/>
      <w:ind w:left="0" w:firstLine="0"/>
      <w:jc w:val="left"/>
    </w:p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hemeFill="background1" w:themeFillShade="D9"/>
      </w:tcPr>
    </w:tblStylePr>
  </w:style>
  <w:style w:type="table" w:styleId="TableProfessional">
    <w:name w:val="Table Professional"/>
    <w:basedOn w:val="TableNormal"/>
    <w:rsid w:val="0050194C"/>
    <w:pPr>
      <w:spacing w:after="280"/>
      <w:ind w:left="0" w:firstLine="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rsid w:val="0050194C"/>
    <w:pPr>
      <w:autoSpaceDE w:val="0"/>
      <w:autoSpaceDN w:val="0"/>
      <w:adjustRightInd w:val="0"/>
      <w:spacing w:after="0" w:line="240" w:lineRule="auto"/>
      <w:ind w:left="0" w:firstLine="0"/>
      <w:jc w:val="left"/>
    </w:pPr>
    <w:rPr>
      <w:rFonts w:ascii="Times New Roman" w:eastAsiaTheme="minorHAnsi" w:hAnsi="Times New Roman"/>
      <w:color w:val="000000"/>
      <w:sz w:val="24"/>
      <w:szCs w:val="24"/>
    </w:rPr>
  </w:style>
  <w:style w:type="paragraph" w:styleId="Revision">
    <w:name w:val="Revision"/>
    <w:hidden/>
    <w:uiPriority w:val="99"/>
    <w:semiHidden/>
    <w:rsid w:val="00FF6CE8"/>
    <w:pPr>
      <w:spacing w:after="0" w:line="240" w:lineRule="auto"/>
      <w:ind w:left="0" w:firstLine="0"/>
      <w:jc w:val="left"/>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84419769">
      <w:bodyDiv w:val="1"/>
      <w:marLeft w:val="0"/>
      <w:marRight w:val="0"/>
      <w:marTop w:val="0"/>
      <w:marBottom w:val="0"/>
      <w:divBdr>
        <w:top w:val="none" w:sz="0" w:space="0" w:color="auto"/>
        <w:left w:val="none" w:sz="0" w:space="0" w:color="auto"/>
        <w:bottom w:val="none" w:sz="0" w:space="0" w:color="auto"/>
        <w:right w:val="none" w:sz="0" w:space="0" w:color="auto"/>
      </w:divBdr>
    </w:div>
    <w:div w:id="43135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4F21D-131B-479F-8BC5-4D06373ED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2666</Words>
  <Characters>15067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Itron</Company>
  <LinksUpToDate>false</LinksUpToDate>
  <CharactersWithSpaces>17698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Messenger, Mike</dc:creator>
  <cp:lastModifiedBy>ALEXK</cp:lastModifiedBy>
  <cp:revision>4</cp:revision>
  <cp:lastPrinted>2009-01-22T17:29:00Z</cp:lastPrinted>
  <dcterms:created xsi:type="dcterms:W3CDTF">2011-11-04T04:25:00Z</dcterms:created>
  <dcterms:modified xsi:type="dcterms:W3CDTF">2011-11-08T20:05:00Z</dcterms:modified>
</cp:coreProperties>
</file>